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1" w:name="_GoBack"/>
      <w:bookmarkEnd w:id="11"/>
    </w:p>
    <w:p>
      <w:pPr>
        <w:jc w:val="center"/>
      </w:pPr>
      <w:r>
        <w:rPr>
          <w:rFonts w:hint="eastAsia" w:ascii="黑体" w:hAnsi="黑体" w:eastAsia="黑体" w:cs="黑体"/>
          <w:b/>
          <w:color w:val="000000"/>
          <w:sz w:val="30"/>
          <w:lang w:val="en-US" w:eastAsia="zh-CN"/>
        </w:rPr>
        <w:t>中国共产党河北省涞水县纪律检查委员会</w:t>
      </w:r>
      <w:r>
        <w:rPr>
          <w:rFonts w:hint="eastAsia" w:ascii="黑体" w:hAnsi="黑体" w:eastAsia="黑体" w:cs="黑体"/>
          <w:b/>
          <w:color w:val="000000"/>
          <w:sz w:val="30"/>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中国共产党河北省涞水县纪律检查委员会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0"/>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中国共产党河北省涞水县纪律检查委员会</w:t>
      </w:r>
      <w:r>
        <w:rPr>
          <w:rFonts w:hint="eastAsia" w:ascii="方正小标宋_GBK" w:hAnsi="方正小标宋_GBK" w:eastAsia="方正小标宋_GBK" w:cs="方正小标宋_GBK"/>
          <w:color w:val="000000"/>
          <w:sz w:val="44"/>
        </w:rPr>
        <w:t>（本级）收支预算</w:t>
      </w:r>
      <w:bookmarkEnd w:id="0"/>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1"/>
        <w:gridCol w:w="4889"/>
        <w:gridCol w:w="1396"/>
        <w:gridCol w:w="5176"/>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预算单位编码及名称：[222</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72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6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1250.65</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907"/>
        <w:gridCol w:w="2343"/>
        <w:gridCol w:w="1212"/>
        <w:gridCol w:w="1244"/>
        <w:gridCol w:w="1163"/>
        <w:gridCol w:w="1073"/>
        <w:gridCol w:w="910"/>
        <w:gridCol w:w="920"/>
        <w:gridCol w:w="1251"/>
        <w:gridCol w:w="1590"/>
        <w:gridCol w:w="910"/>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92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688"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9"/>
        <w:gridCol w:w="1121"/>
        <w:gridCol w:w="3736"/>
        <w:gridCol w:w="1648"/>
        <w:gridCol w:w="1486"/>
        <w:gridCol w:w="1155"/>
        <w:gridCol w:w="1161"/>
        <w:gridCol w:w="1768"/>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29"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60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7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经营支出</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7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3"/>
        <w:gridCol w:w="2535"/>
        <w:gridCol w:w="853"/>
        <w:gridCol w:w="3562"/>
        <w:gridCol w:w="924"/>
        <w:gridCol w:w="1640"/>
        <w:gridCol w:w="2348"/>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78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367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政府性基金预算财政拨款</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73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7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1250.65</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764.43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583.65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bidi w:val="0"/>
        <w:jc w:val="both"/>
        <w:outlineLvl w:val="9"/>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5"/>
        <w:gridCol w:w="1751"/>
        <w:gridCol w:w="5267"/>
        <w:gridCol w:w="1330"/>
        <w:gridCol w:w="2805"/>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rPr>
            </w:pPr>
            <w:r>
              <w:rPr>
                <w:rFonts w:hint="eastAsia" w:ascii="方正小标宋_GBK" w:hAnsi="方正小标宋_GBK" w:eastAsia="方正小标宋_GBK" w:cs="方正小标宋_GBK"/>
                <w:b w:val="0"/>
                <w:color w:val="000000"/>
                <w:kern w:val="0"/>
                <w:sz w:val="36"/>
                <w:szCs w:val="24"/>
                <w:lang w:val="en-US" w:eastAsia="zh-CN" w:bidi="ar-SA"/>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9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9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支出部门经济分类科目</w:t>
            </w:r>
          </w:p>
        </w:tc>
        <w:tc>
          <w:tcPr>
            <w:tcW w:w="23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930.65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748.41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326.87</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220.61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26.11</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80.44</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2.52</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52.26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pPr w:leftFromText="180" w:rightFromText="180" w:vertAnchor="text" w:horzAnchor="page" w:tblpX="1479" w:tblpY="-789"/>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0"/>
        <w:gridCol w:w="2333"/>
        <w:gridCol w:w="2345"/>
        <w:gridCol w:w="1429"/>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注：无政府基金预算财政拨款支出，空表列示。</w:t>
            </w: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2"/>
        <w:gridCol w:w="2342"/>
        <w:gridCol w:w="2348"/>
        <w:gridCol w:w="1405"/>
        <w:gridCol w:w="3757"/>
        <w:gridCol w:w="3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w:t>
            </w:r>
            <w:r>
              <w:rPr>
                <w:rFonts w:hint="eastAsia" w:ascii="宋体" w:hAnsi="宋体" w:cs="宋体"/>
                <w:i w:val="0"/>
                <w:iCs w:val="0"/>
                <w:color w:val="000000"/>
                <w:kern w:val="0"/>
                <w:sz w:val="22"/>
                <w:szCs w:val="22"/>
                <w:u w:val="none"/>
                <w:lang w:val="en-US" w:eastAsia="zh-CN" w:bidi="ar"/>
              </w:rPr>
              <w:t>222001</w:t>
            </w:r>
            <w:r>
              <w:rPr>
                <w:rFonts w:hint="eastAsia" w:ascii="宋体" w:hAnsi="宋体" w:eastAsia="宋体" w:cs="宋体"/>
                <w:i w:val="0"/>
                <w:iCs w:val="0"/>
                <w:color w:val="000000"/>
                <w:kern w:val="0"/>
                <w:sz w:val="22"/>
                <w:szCs w:val="22"/>
                <w:u w:val="none"/>
                <w:lang w:val="en-US" w:eastAsia="zh-CN" w:bidi="ar"/>
              </w:rPr>
              <w:t>]中国共产党河北省涞水县纪律检查委员会</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25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注：无国有资本经营预算财政拨款支出，空表列示。</w:t>
            </w:r>
          </w:p>
        </w:tc>
      </w:tr>
    </w:tbl>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p>
      <w:pPr>
        <w:pStyle w:val="39"/>
        <w:kinsoku w:val="0"/>
        <w:overflowPunct w:val="0"/>
        <w:spacing w:before="0" w:line="560" w:lineRule="atLeast"/>
        <w:ind w:left="0" w:leftChars="0" w:right="102" w:firstLine="0" w:firstLineChars="0"/>
        <w:jc w:val="both"/>
        <w:outlineLvl w:val="9"/>
        <w:rPr>
          <w:rFonts w:hint="eastAsia"/>
          <w:spacing w:val="-11"/>
          <w:w w:val="95"/>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2"/>
        <w:gridCol w:w="4982"/>
        <w:gridCol w:w="811"/>
        <w:gridCol w:w="2748"/>
        <w:gridCol w:w="2483"/>
        <w:gridCol w:w="3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bidi w:val="0"/>
              <w:jc w:val="center"/>
              <w:rPr>
                <w:rFonts w:hint="eastAsia" w:ascii="宋体" w:hAnsi="宋体" w:eastAsia="宋体" w:cs="宋体"/>
                <w:i w:val="0"/>
                <w:iCs w:val="0"/>
                <w:color w:val="000000"/>
                <w:szCs w:val="22"/>
                <w:u w:val="none"/>
              </w:rPr>
            </w:pPr>
            <w:r>
              <w:rPr>
                <w:rFonts w:hint="eastAsia" w:ascii="方正小标宋_GBK" w:hAnsi="方正小标宋_GBK" w:eastAsia="方正小标宋_GBK" w:cs="方正小标宋_GBK"/>
                <w:b w:val="0"/>
                <w:color w:val="000000"/>
                <w:kern w:val="0"/>
                <w:sz w:val="36"/>
                <w:szCs w:val="24"/>
                <w:lang w:val="en-US" w:eastAsia="zh-CN" w:bidi="ar-SA"/>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预算单位编码及名称：[</w:t>
            </w:r>
            <w:r>
              <w:rPr>
                <w:rFonts w:hint="eastAsia" w:ascii="宋体" w:hAnsi="宋体" w:cs="宋体"/>
                <w:b/>
                <w:bCs/>
                <w:i w:val="0"/>
                <w:iCs w:val="0"/>
                <w:color w:val="000000"/>
                <w:kern w:val="0"/>
                <w:sz w:val="22"/>
                <w:szCs w:val="22"/>
                <w:u w:val="none"/>
                <w:lang w:val="en-US" w:eastAsia="zh-CN" w:bidi="ar"/>
              </w:rPr>
              <w:t>222001</w:t>
            </w:r>
            <w:r>
              <w:rPr>
                <w:rFonts w:hint="eastAsia" w:ascii="宋体" w:hAnsi="宋体" w:eastAsia="宋体" w:cs="宋体"/>
                <w:b/>
                <w:bCs/>
                <w:i w:val="0"/>
                <w:iCs w:val="0"/>
                <w:color w:val="000000"/>
                <w:kern w:val="0"/>
                <w:sz w:val="22"/>
                <w:szCs w:val="22"/>
                <w:u w:val="none"/>
                <w:lang w:val="en-US" w:eastAsia="zh-CN" w:bidi="ar"/>
              </w:rPr>
              <w:t>]中国共产党河北省涞水县纪律检查委员会</w:t>
            </w:r>
          </w:p>
        </w:tc>
        <w:tc>
          <w:tcPr>
            <w:tcW w:w="82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预算年度：2022</w:t>
            </w:r>
          </w:p>
        </w:tc>
        <w:tc>
          <w:tcPr>
            <w:tcW w:w="108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一般公共预算财政拨款</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政府性基金财政拨款</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r>
              <w:rPr>
                <w:rFonts w:hint="eastAsia" w:ascii="Calibri" w:hAnsi="Calibri" w:cs="Calibri"/>
                <w:i w:val="0"/>
                <w:iCs w:val="0"/>
                <w:color w:val="000000"/>
                <w:sz w:val="22"/>
                <w:szCs w:val="22"/>
                <w:u w:val="none"/>
                <w:lang w:val="en-US" w:eastAsia="zh-CN"/>
              </w:rPr>
              <w:t>99.50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pStyle w:val="39"/>
        <w:kinsoku w:val="0"/>
        <w:overflowPunct w:val="0"/>
        <w:spacing w:before="0" w:line="560" w:lineRule="atLeast"/>
        <w:ind w:left="0" w:leftChars="0" w:right="102" w:firstLine="0" w:firstLineChars="0"/>
        <w:jc w:val="both"/>
        <w:outlineLvl w:val="9"/>
        <w:rPr>
          <w:rFonts w:hint="eastAsia" w:ascii="宋体" w:hAnsi="宋体" w:eastAsia="宋体" w:cs="宋体"/>
          <w:b/>
          <w:bCs/>
          <w:spacing w:val="-11"/>
          <w:w w:val="95"/>
          <w:sz w:val="44"/>
          <w:szCs w:val="44"/>
          <w:lang w:val="en-US" w:eastAsia="zh-CN"/>
        </w:rPr>
      </w:pPr>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1" w:name="_Toc7613"/>
      <w:r>
        <w:rPr>
          <w:rFonts w:hint="eastAsia" w:ascii="方正小标宋_GBK" w:hAnsi="方正小标宋_GBK" w:eastAsia="方正小标宋_GBK" w:cs="方正小标宋_GBK"/>
          <w:color w:val="000000"/>
          <w:kern w:val="0"/>
          <w:sz w:val="44"/>
          <w:szCs w:val="24"/>
          <w:lang w:val="en-US" w:eastAsia="zh-CN"/>
        </w:rPr>
        <w:t>中国共产党河北省涞水县纪律检查委员会</w:t>
      </w:r>
      <w:bookmarkEnd w:id="1"/>
      <w:r>
        <w:rPr>
          <w:rFonts w:hint="eastAsia" w:ascii="方正小标宋_GBK" w:hAnsi="方正小标宋_GBK" w:eastAsia="方正小标宋_GBK" w:cs="方正小标宋_GBK"/>
          <w:color w:val="000000"/>
          <w:kern w:val="0"/>
          <w:sz w:val="44"/>
          <w:szCs w:val="24"/>
          <w:lang w:val="en-US" w:eastAsia="zh-CN"/>
        </w:rPr>
        <w:t>（本级）</w:t>
      </w:r>
    </w:p>
    <w:p>
      <w:pPr>
        <w:widowControl/>
        <w:spacing w:line="240" w:lineRule="auto"/>
        <w:jc w:val="center"/>
        <w:rPr>
          <w:rFonts w:hint="eastAsia" w:ascii="方正小标宋_GBK" w:hAnsi="方正小标宋_GBK" w:eastAsia="方正小标宋_GBK" w:cs="方正小标宋_GBK"/>
          <w:color w:val="000000"/>
          <w:kern w:val="0"/>
          <w:sz w:val="44"/>
          <w:szCs w:val="24"/>
          <w:lang w:val="en-US" w:eastAsia="zh-CN"/>
        </w:rPr>
      </w:pPr>
      <w:bookmarkStart w:id="2" w:name="_Toc27766"/>
      <w:r>
        <w:rPr>
          <w:rFonts w:hint="eastAsia" w:ascii="方正小标宋_GBK" w:hAnsi="方正小标宋_GBK" w:eastAsia="方正小标宋_GBK" w:cs="方正小标宋_GBK"/>
          <w:color w:val="000000"/>
          <w:kern w:val="0"/>
          <w:sz w:val="44"/>
          <w:szCs w:val="24"/>
          <w:lang w:val="en-US" w:eastAsia="zh-CN"/>
        </w:rPr>
        <w:t>2022年单位预算信息公开情况说明</w:t>
      </w:r>
      <w:bookmarkEnd w:id="2"/>
    </w:p>
    <w:p>
      <w:pPr>
        <w:pStyle w:val="39"/>
        <w:kinsoku w:val="0"/>
        <w:overflowPunct w:val="0"/>
        <w:spacing w:before="0" w:line="560" w:lineRule="atLeast"/>
        <w:ind w:right="102"/>
        <w:jc w:val="center"/>
        <w:outlineLvl w:val="9"/>
        <w:rPr>
          <w:rFonts w:hint="eastAsia" w:ascii="宋体" w:hAnsi="宋体" w:eastAsia="宋体" w:cs="宋体"/>
          <w:b/>
          <w:bCs/>
          <w:spacing w:val="-11"/>
          <w:w w:val="95"/>
          <w:sz w:val="48"/>
          <w:szCs w:val="48"/>
          <w:lang w:val="en-US" w:eastAsia="zh-CN"/>
        </w:rPr>
      </w:pPr>
    </w:p>
    <w:p>
      <w:pPr>
        <w:pStyle w:val="39"/>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单位</w:t>
      </w:r>
      <w:r>
        <w:rPr>
          <w:rFonts w:hint="eastAsia"/>
        </w:rPr>
        <w:t>预算公开如下：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bookmarkStart w:id="3" w:name="_Toc536088156"/>
      <w:r>
        <w:rPr>
          <w:rFonts w:hint="eastAsia" w:ascii="黑体" w:hAnsi="黑体" w:eastAsia="黑体"/>
          <w:sz w:val="32"/>
          <w:szCs w:val="32"/>
        </w:rPr>
        <w:t>一、</w:t>
      </w:r>
      <w:r>
        <w:rPr>
          <w:rFonts w:hint="eastAsia" w:ascii="黑体" w:hAnsi="黑体" w:eastAsia="黑体"/>
          <w:sz w:val="32"/>
          <w:szCs w:val="32"/>
          <w:lang w:eastAsia="zh-CN"/>
        </w:rPr>
        <w:t>单位</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我单位编制67人，在职人员64人（含两名工勤人员），退休人员17人。另有劳务派遣人员7人，公益岗2人，领取遗属补助人员2名。</w:t>
      </w:r>
    </w:p>
    <w:p>
      <w:pPr>
        <w:adjustRightInd w:val="0"/>
        <w:spacing w:line="560" w:lineRule="atLeast"/>
        <w:ind w:firstLine="640" w:firstLineChars="200"/>
        <w:rPr>
          <w:rFonts w:hint="eastAsia" w:ascii="仿宋" w:hAnsi="仿宋" w:eastAsia="仿宋"/>
          <w:sz w:val="32"/>
          <w:szCs w:val="32"/>
        </w:rPr>
      </w:pPr>
    </w:p>
    <w:p>
      <w:pPr>
        <w:jc w:val="center"/>
        <w:outlineLvl w:val="0"/>
        <w:rPr>
          <w:rFonts w:ascii="仿宋" w:hAnsi="仿宋" w:eastAsia="仿宋"/>
          <w:sz w:val="32"/>
        </w:rPr>
      </w:pPr>
      <w:bookmarkStart w:id="4" w:name="_Toc22916"/>
      <w:r>
        <w:rPr>
          <w:rFonts w:hint="eastAsia" w:ascii="仿宋" w:hAnsi="仿宋" w:eastAsia="仿宋"/>
          <w:sz w:val="32"/>
          <w:lang w:val="en-US" w:eastAsia="zh-CN"/>
        </w:rPr>
        <w:t>单位</w:t>
      </w:r>
      <w:r>
        <w:rPr>
          <w:rFonts w:hint="eastAsia" w:ascii="仿宋" w:hAnsi="仿宋" w:eastAsia="仿宋"/>
          <w:sz w:val="32"/>
        </w:rPr>
        <w:t>基本情况表</w:t>
      </w:r>
      <w:bookmarkEnd w:id="3"/>
      <w:bookmarkEnd w:id="4"/>
    </w:p>
    <w:p>
      <w:pPr>
        <w:jc w:val="center"/>
        <w:outlineLvl w:val="9"/>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lang w:eastAsia="zh-CN"/>
              </w:rPr>
              <w:t>222001</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outlineLvl w:val="9"/>
              <w:rPr>
                <w:rFonts w:ascii="仿宋" w:hAnsi="仿宋" w:eastAsia="仿宋"/>
                <w:sz w:val="30"/>
                <w:szCs w:val="30"/>
              </w:rPr>
            </w:pPr>
          </w:p>
        </w:tc>
        <w:tc>
          <w:tcPr>
            <w:tcW w:w="638" w:type="pct"/>
            <w:vMerge w:val="continue"/>
            <w:vAlign w:val="center"/>
          </w:tcPr>
          <w:p>
            <w:pPr>
              <w:spacing w:line="300" w:lineRule="exact"/>
              <w:jc w:val="left"/>
              <w:outlineLvl w:val="9"/>
              <w:rPr>
                <w:rFonts w:ascii="仿宋" w:hAnsi="仿宋" w:eastAsia="仿宋"/>
                <w:sz w:val="30"/>
                <w:szCs w:val="30"/>
              </w:rPr>
            </w:pPr>
          </w:p>
        </w:tc>
        <w:tc>
          <w:tcPr>
            <w:tcW w:w="547" w:type="pct"/>
            <w:vMerge w:val="continue"/>
            <w:vAlign w:val="center"/>
          </w:tcPr>
          <w:p>
            <w:pPr>
              <w:spacing w:line="300" w:lineRule="exact"/>
              <w:jc w:val="left"/>
              <w:outlineLvl w:val="9"/>
              <w:rPr>
                <w:rFonts w:ascii="仿宋" w:hAnsi="仿宋" w:eastAsia="仿宋"/>
                <w:sz w:val="30"/>
                <w:szCs w:val="30"/>
              </w:rPr>
            </w:pPr>
          </w:p>
        </w:tc>
        <w:tc>
          <w:tcPr>
            <w:tcW w:w="843" w:type="pct"/>
            <w:vMerge w:val="continue"/>
            <w:vAlign w:val="center"/>
          </w:tcPr>
          <w:p>
            <w:pPr>
              <w:spacing w:line="300" w:lineRule="exact"/>
              <w:jc w:val="left"/>
              <w:outlineLvl w:val="9"/>
              <w:rPr>
                <w:rFonts w:ascii="仿宋" w:hAnsi="仿宋" w:eastAsia="仿宋"/>
                <w:sz w:val="30"/>
                <w:szCs w:val="30"/>
              </w:rPr>
            </w:pPr>
          </w:p>
        </w:tc>
        <w:tc>
          <w:tcPr>
            <w:tcW w:w="343" w:type="pct"/>
            <w:vMerge w:val="continue"/>
            <w:vAlign w:val="center"/>
          </w:tcPr>
          <w:p>
            <w:pPr>
              <w:spacing w:line="300" w:lineRule="exact"/>
              <w:jc w:val="left"/>
              <w:outlineLvl w:val="9"/>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21</w:t>
            </w:r>
          </w:p>
        </w:tc>
        <w:tc>
          <w:tcPr>
            <w:tcW w:w="186" w:type="pct"/>
            <w:vAlign w:val="center"/>
          </w:tcPr>
          <w:p>
            <w:pPr>
              <w:spacing w:line="300" w:lineRule="exact"/>
              <w:jc w:val="center"/>
              <w:rPr>
                <w:rFonts w:ascii="仿宋" w:hAnsi="仿宋" w:eastAsia="仿宋"/>
                <w:sz w:val="30"/>
                <w:szCs w:val="30"/>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 xml:space="preserve">二、 </w:t>
      </w:r>
      <w:r>
        <w:rPr>
          <w:rFonts w:hint="eastAsia" w:ascii="黑体" w:hAnsi="黑体" w:eastAsia="黑体"/>
          <w:sz w:val="32"/>
          <w:szCs w:val="32"/>
          <w:lang w:eastAsia="zh-CN"/>
        </w:rPr>
        <w:t>单位预算</w:t>
      </w:r>
      <w:r>
        <w:rPr>
          <w:rFonts w:hint="eastAsia" w:ascii="黑体" w:hAnsi="黑体" w:eastAsia="黑体"/>
          <w:sz w:val="32"/>
          <w:szCs w:val="32"/>
        </w:rPr>
        <w:t>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单位预算</w:t>
      </w:r>
      <w:r>
        <w:rPr>
          <w:rFonts w:hint="eastAsia" w:ascii="仿宋" w:hAnsi="仿宋" w:eastAsia="仿宋"/>
          <w:sz w:val="32"/>
          <w:szCs w:val="32"/>
        </w:rPr>
        <w:t>收入总额为1250.65万元，其中：一般公共预算拨款收入1250.65万元，政府性基金预算拨款0万元，国有资本经营预算拨款0万元，其他来源收入0万元。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2022年我单位安排预算支出1250.65万元。其中：基本支出930.65万元（人员经费749.87万元，日常公用经费180.78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年度预算收支安排1250.65万元，较上年减少11.07万元。其中基本支出增加8.93万元，主要是因为人员增加，导致人员经费增加。项目支出减少了20万元。由于上年度疫情督导，出差次数增加,导致2021年项目支出增加。</w:t>
      </w:r>
    </w:p>
    <w:p>
      <w:pPr>
        <w:snapToGrid w:val="0"/>
        <w:ind w:firstLine="640" w:firstLineChars="200"/>
        <w:rPr>
          <w:rFonts w:hint="eastAsia"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hint="eastAsia"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eastAsia="zh-CN"/>
        </w:rPr>
        <w:t>单位预算</w:t>
      </w:r>
      <w:r>
        <w:rPr>
          <w:rFonts w:hint="eastAsia" w:ascii="仿宋" w:hAnsi="仿宋" w:eastAsia="仿宋"/>
          <w:sz w:val="32"/>
          <w:szCs w:val="32"/>
        </w:rPr>
        <w:t>安排财政拨款支出主要用于保障该</w:t>
      </w:r>
      <w:r>
        <w:rPr>
          <w:rFonts w:hint="eastAsia" w:ascii="仿宋" w:hAnsi="仿宋" w:eastAsia="仿宋"/>
          <w:sz w:val="32"/>
          <w:szCs w:val="32"/>
          <w:lang w:eastAsia="zh-CN"/>
        </w:rPr>
        <w:t>单位</w:t>
      </w:r>
      <w:r>
        <w:rPr>
          <w:rFonts w:hint="eastAsia" w:ascii="仿宋" w:hAnsi="仿宋" w:eastAsia="仿宋"/>
          <w:sz w:val="32"/>
          <w:szCs w:val="32"/>
        </w:rPr>
        <w:t>机构正常运转、完成日常工作任务以及纪检监察事业发展相关工作。正常公用经费180.78万元，其中：四大班子领导办公费2.5万元，</w:t>
      </w:r>
      <w:r>
        <w:rPr>
          <w:rFonts w:hint="eastAsia" w:ascii="仿宋" w:hAnsi="仿宋" w:eastAsia="仿宋"/>
          <w:sz w:val="32"/>
          <w:szCs w:val="32"/>
          <w:lang w:eastAsia="zh-CN"/>
        </w:rPr>
        <w:t>单位</w:t>
      </w:r>
      <w:r>
        <w:rPr>
          <w:rFonts w:hint="eastAsia" w:ascii="仿宋" w:hAnsi="仿宋" w:eastAsia="仿宋"/>
          <w:sz w:val="32"/>
          <w:szCs w:val="32"/>
        </w:rPr>
        <w:t>办公费18.04万元，邮电费0.36万元，差旅费8.20万元，公务接待费26万元，公务用车运行维护费27.5万元，公务交通补贴51.60万元，劳务费29.76万元，离退休人员公用经费0.76万元，工会经费6.21万元，职工福利费9.85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安排“三公经费”预算99.5万元，严格落实“三公经费”管理办法以及中央八项规定。其中，2022年公务用车运行维护费42.5万元，与2021年相比无变化；2022年公务接待费57万元，与2021年相比无变化；因公出国经费无；公务用车购置经费无。</w:t>
      </w:r>
    </w:p>
    <w:p>
      <w:pPr>
        <w:ind w:firstLine="640" w:firstLineChars="200"/>
        <w:outlineLvl w:val="9"/>
        <w:rPr>
          <w:rFonts w:ascii="仿宋" w:hAnsi="仿宋" w:eastAsia="仿宋"/>
          <w:sz w:val="32"/>
          <w:szCs w:val="32"/>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2021年度预算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2022年度预算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outlineLvl w:val="9"/>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绩效预算信息情况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第一部分 单位整体绩效目标</w:t>
      </w:r>
    </w:p>
    <w:p>
      <w:pPr>
        <w:spacing w:beforeLines="50" w:afterLines="50"/>
        <w:ind w:firstLine="640" w:firstLineChars="200"/>
        <w:jc w:val="left"/>
        <w:outlineLvl w:val="1"/>
        <w:rPr>
          <w:rFonts w:ascii="楷体" w:hAnsi="楷体" w:eastAsia="楷体"/>
          <w:sz w:val="32"/>
          <w:szCs w:val="32"/>
        </w:rPr>
      </w:pPr>
      <w:bookmarkStart w:id="5" w:name="_Toc62132114"/>
      <w:r>
        <w:rPr>
          <w:rFonts w:hint="eastAsia" w:ascii="楷体" w:hAnsi="楷体" w:eastAsia="楷体"/>
          <w:sz w:val="32"/>
          <w:szCs w:val="32"/>
        </w:rPr>
        <w:t>（一）、总体绩效目标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单位</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6" w:name="_Toc62132115"/>
      <w:r>
        <w:rPr>
          <w:rFonts w:hint="eastAsia" w:ascii="楷体" w:hAnsi="楷体" w:eastAsia="楷体"/>
          <w:sz w:val="32"/>
          <w:szCs w:val="32"/>
        </w:rPr>
        <w:t>（二）、分项绩效目标</w:t>
      </w:r>
      <w:bookmarkEnd w:id="6"/>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jc w:val="left"/>
        <w:outlineLvl w:val="1"/>
        <w:rPr>
          <w:rFonts w:ascii="仿宋" w:hAnsi="仿宋" w:eastAsia="仿宋"/>
          <w:b/>
          <w:sz w:val="32"/>
          <w:szCs w:val="32"/>
        </w:rPr>
      </w:pPr>
      <w:bookmarkStart w:id="7" w:name="_Toc62132116"/>
      <w:r>
        <w:rPr>
          <w:rFonts w:hint="eastAsia" w:ascii="仿宋" w:hAnsi="仿宋" w:eastAsia="仿宋"/>
          <w:b/>
          <w:sz w:val="32"/>
          <w:szCs w:val="32"/>
        </w:rPr>
        <w:t>4、工作保障措施</w:t>
      </w:r>
      <w:bookmarkEnd w:id="7"/>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单位预算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单位</w:t>
      </w:r>
      <w:r>
        <w:rPr>
          <w:rFonts w:ascii="仿宋" w:hAnsi="仿宋" w:eastAsia="仿宋"/>
          <w:sz w:val="32"/>
          <w:szCs w:val="32"/>
        </w:rPr>
        <w:t>职工业务素质；加强调研，提出优化财政资金配置、提高资金使用效益的</w:t>
      </w:r>
      <w:r>
        <w:rPr>
          <w:rFonts w:hint="eastAsia" w:ascii="仿宋" w:hAnsi="仿宋" w:eastAsia="仿宋"/>
          <w:sz w:val="32"/>
          <w:szCs w:val="32"/>
          <w:lang w:eastAsia="zh-CN"/>
        </w:rPr>
        <w:t>意见</w:t>
      </w:r>
      <w:r>
        <w:rPr>
          <w:rFonts w:ascii="仿宋" w:hAnsi="仿宋" w:eastAsia="仿宋"/>
          <w:sz w:val="32"/>
          <w:szCs w:val="32"/>
        </w:rPr>
        <w:t>；加大宣传力度，强化预算绩效管理意识，促进预算绩效管理水平进一步提升。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黑体" w:hAnsi="黑体" w:eastAsia="黑体"/>
          <w:sz w:val="32"/>
          <w:szCs w:val="32"/>
          <w:lang w:val="en-US" w:eastAsia="zh-CN"/>
        </w:rPr>
      </w:pPr>
      <w:r>
        <w:rPr>
          <w:rFonts w:hint="eastAsia" w:ascii="黑体" w:hAnsi="黑体" w:eastAsia="黑体"/>
          <w:sz w:val="32"/>
          <w:szCs w:val="32"/>
          <w:lang w:val="en-US" w:eastAsia="zh-CN"/>
        </w:rPr>
        <w:t>第二部分 预算项目绩效目标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3"/>
      </w:pPr>
      <w:bookmarkStart w:id="8" w:name="_Toc62132117"/>
      <w:r>
        <w:rPr>
          <w:rFonts w:hint="eastAsia" w:ascii="方正仿宋_GBK" w:eastAsia="方正仿宋_GBK"/>
          <w:b/>
          <w:sz w:val="28"/>
        </w:rPr>
        <w:t>1.党风廉政建设绩效目标表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10"/>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9"/>
        <w:gridCol w:w="817"/>
        <w:gridCol w:w="367"/>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[13062322P00754210001C]党风廉政建设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eastAsia="宋体" w:cs="Calibri"/>
                <w:b/>
                <w:bCs/>
                <w:kern w:val="0"/>
                <w:sz w:val="18"/>
                <w:szCs w:val="18"/>
                <w:lang w:eastAsia="zh-CN"/>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1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8" w:type="default"/>
          <w:footerReference r:id="rId9" w:type="default"/>
          <w:type w:val="continuous"/>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9" w:name="_Toc62132118"/>
      <w:r>
        <w:rPr>
          <w:rFonts w:hint="eastAsia" w:ascii="方正仿宋_GBK" w:eastAsia="方正仿宋_GBK"/>
          <w:b/>
          <w:sz w:val="28"/>
        </w:rPr>
        <w:t>2.县委巡察工作绩效目标表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339"/>
        <w:gridCol w:w="1654"/>
        <w:gridCol w:w="1494"/>
        <w:gridCol w:w="3092"/>
        <w:gridCol w:w="855"/>
        <w:gridCol w:w="377"/>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[13062322P007543100012]巡察工作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bl>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spacing w:line="300" w:lineRule="exact"/>
        <w:ind w:firstLine="480" w:firstLineChars="200"/>
        <w:jc w:val="left"/>
      </w:pPr>
    </w:p>
    <w:p>
      <w:pPr>
        <w:ind w:firstLine="560" w:firstLineChars="200"/>
        <w:jc w:val="left"/>
        <w:outlineLvl w:val="3"/>
        <w:rPr>
          <w:rFonts w:ascii="Times New Roman" w:hAnsi="宋体"/>
          <w:b/>
          <w:sz w:val="28"/>
        </w:rPr>
      </w:pPr>
      <w:bookmarkStart w:id="10" w:name="_Toc62132119"/>
      <w:r>
        <w:rPr>
          <w:rFonts w:hint="eastAsia" w:ascii="方正仿宋_GBK" w:eastAsia="方正仿宋_GBK"/>
          <w:b/>
          <w:sz w:val="28"/>
        </w:rPr>
        <w:t>3.纪检监察事务管理绩效目标表</w:t>
      </w:r>
      <w:bookmarkEnd w:id="10"/>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10"/>
        <w:tblW w:w="5000" w:type="pct"/>
        <w:tblInd w:w="0" w:type="dxa"/>
        <w:tblLayout w:type="autofit"/>
        <w:tblCellMar>
          <w:top w:w="0" w:type="dxa"/>
          <w:left w:w="108" w:type="dxa"/>
          <w:bottom w:w="0" w:type="dxa"/>
          <w:right w:w="108" w:type="dxa"/>
        </w:tblCellMar>
      </w:tblPr>
      <w:tblGrid>
        <w:gridCol w:w="1206"/>
        <w:gridCol w:w="1485"/>
        <w:gridCol w:w="2190"/>
        <w:gridCol w:w="3459"/>
        <w:gridCol w:w="780"/>
        <w:gridCol w:w="358"/>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[13062322P00754410001P]纪检监察事务管理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14" w:lineRule="exact"/>
        <w:ind w:firstLine="480" w:firstLineChars="200"/>
        <w:jc w:val="center"/>
        <w:rPr>
          <w:rFonts w:ascii="Times New Roman" w:hAnsi="宋体"/>
        </w:rPr>
      </w:pPr>
    </w:p>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outlineLvl w:val="9"/>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没有安排政府采购项目</w:t>
      </w:r>
      <w:r>
        <w:rPr>
          <w:rFonts w:hint="eastAsia" w:ascii="仿宋" w:hAnsi="仿宋" w:eastAsia="仿宋"/>
          <w:sz w:val="32"/>
          <w:szCs w:val="32"/>
          <w:lang w:val="en-US" w:eastAsia="zh-CN"/>
        </w:rPr>
        <w:t>,空表列示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rPr>
          <w:rFonts w:hint="eastAsia"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hint="eastAsia"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val="en-US"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hint="eastAsia" w:ascii="仿宋" w:hAnsi="仿宋" w:eastAsia="仿宋"/>
          <w:sz w:val="32"/>
          <w:szCs w:val="32"/>
        </w:rPr>
      </w:pPr>
    </w:p>
    <w:p>
      <w:pPr>
        <w:spacing w:line="520" w:lineRule="exact"/>
        <w:ind w:firstLine="1285" w:firstLineChars="400"/>
        <w:jc w:val="center"/>
        <w:rPr>
          <w:rFonts w:hint="eastAsia" w:ascii="仿宋" w:hAnsi="仿宋" w:eastAsia="仿宋"/>
          <w:sz w:val="32"/>
          <w:szCs w:val="32"/>
          <w:lang w:val="en-US" w:eastAsia="zh-CN"/>
        </w:rPr>
      </w:pPr>
      <w:r>
        <w:rPr>
          <w:rFonts w:hint="eastAsia" w:ascii="黑体" w:hAnsi="黑体" w:eastAsia="黑体" w:cs="黑体"/>
          <w:b/>
          <w:bCs/>
          <w:sz w:val="32"/>
          <w:szCs w:val="32"/>
          <w:lang w:val="en-US" w:eastAsia="zh-CN"/>
        </w:rPr>
        <w:t>单位固定资产占用情况表</w:t>
      </w:r>
    </w:p>
    <w:p>
      <w:pPr>
        <w:spacing w:line="520" w:lineRule="exact"/>
        <w:ind w:firstLine="1280" w:firstLineChars="4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3"/>
        <w:gridCol w:w="5004"/>
        <w:gridCol w:w="5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706.27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0"/>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530.49</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6" w:firstLineChars="180"/>
        <w:rPr>
          <w:rFonts w:ascii="仿宋" w:hAnsi="仿宋" w:eastAsia="仿宋" w:cs="仿宋_GB2312"/>
          <w:sz w:val="32"/>
          <w:szCs w:val="32"/>
        </w:rPr>
      </w:pPr>
      <w:r>
        <w:rPr>
          <w:rStyle w:val="13"/>
          <w:rFonts w:ascii="仿宋" w:hAnsi="仿宋" w:eastAsia="仿宋" w:cs="仿宋_GB2312"/>
          <w:b w:val="0"/>
          <w:sz w:val="32"/>
          <w:szCs w:val="32"/>
          <w:shd w:val="clear" w:color="auto" w:fill="FFFFFF"/>
        </w:rPr>
        <w:t>2</w:t>
      </w:r>
      <w:r>
        <w:rPr>
          <w:rStyle w:val="13"/>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6" w:firstLineChars="180"/>
        <w:rPr>
          <w:rFonts w:ascii="仿宋" w:hAnsi="仿宋" w:eastAsia="仿宋"/>
          <w:sz w:val="32"/>
          <w:szCs w:val="32"/>
        </w:rPr>
      </w:pPr>
      <w:r>
        <w:rPr>
          <w:rStyle w:val="13"/>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sectPr>
          <w:headerReference r:id="rId10" w:type="default"/>
          <w:footerReference r:id="rId12" w:type="default"/>
          <w:headerReference r:id="rId11" w:type="even"/>
          <w:footerReference r:id="rId13" w:type="even"/>
          <w:type w:val="continuous"/>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val="en-US" w:eastAsia="zh-CN"/>
        </w:rPr>
        <w:t>单位无其他需要说明的事项</w:t>
      </w:r>
      <w:r>
        <w:rPr>
          <w:rFonts w:hint="eastAsia" w:ascii="仿宋" w:hAnsi="仿宋" w:eastAsia="仿宋" w:cs="仿宋"/>
          <w:sz w:val="32"/>
          <w:szCs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4500E6A"/>
    <w:rsid w:val="052B4646"/>
    <w:rsid w:val="0B6654D6"/>
    <w:rsid w:val="10685029"/>
    <w:rsid w:val="158F5031"/>
    <w:rsid w:val="1C690F26"/>
    <w:rsid w:val="22090B6C"/>
    <w:rsid w:val="28D2601D"/>
    <w:rsid w:val="2B0B2850"/>
    <w:rsid w:val="33840117"/>
    <w:rsid w:val="391B70EA"/>
    <w:rsid w:val="392A6249"/>
    <w:rsid w:val="3A4B0C5C"/>
    <w:rsid w:val="3B8F458E"/>
    <w:rsid w:val="3EA0160A"/>
    <w:rsid w:val="3F033BBB"/>
    <w:rsid w:val="48390A7E"/>
    <w:rsid w:val="527E0D0E"/>
    <w:rsid w:val="562A7E7A"/>
    <w:rsid w:val="667F37BD"/>
    <w:rsid w:val="66F275AB"/>
    <w:rsid w:val="6FB0221E"/>
    <w:rsid w:val="707C2F7C"/>
    <w:rsid w:val="74745854"/>
    <w:rsid w:val="76375D4D"/>
    <w:rsid w:val="7D251868"/>
    <w:rsid w:val="7E486D4A"/>
    <w:rsid w:val="7EEB74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unhideWhenUsed/>
    <w:qFormat/>
    <w:locked/>
    <w:uiPriority w:val="0"/>
    <w:pPr>
      <w:keepNext/>
      <w:keepLines/>
      <w:spacing w:before="260" w:beforeLines="0" w:beforeAutospacing="0" w:after="260" w:afterLines="0" w:afterAutospacing="0" w:line="240" w:lineRule="auto"/>
      <w:jc w:val="center"/>
      <w:outlineLvl w:val="1"/>
    </w:pPr>
    <w:rPr>
      <w:rFonts w:ascii="Arial" w:hAnsi="Arial" w:eastAsia="方正小标宋"/>
      <w:b/>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qFormat/>
    <w:uiPriority w:val="99"/>
    <w:pPr>
      <w:tabs>
        <w:tab w:val="center" w:pos="4153"/>
        <w:tab w:val="right" w:pos="8306"/>
      </w:tabs>
      <w:snapToGrid w:val="0"/>
    </w:pPr>
    <w:rPr>
      <w:sz w:val="18"/>
      <w:szCs w:val="18"/>
    </w:rPr>
  </w:style>
  <w:style w:type="paragraph" w:styleId="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locked/>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9">
    <w:name w:val="插入文本样式-插入总体目标文件"/>
    <w:basedOn w:val="1"/>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7">
    <w:name w:val="页眉 Char"/>
    <w:basedOn w:val="12"/>
    <w:link w:val="5"/>
    <w:qFormat/>
    <w:locked/>
    <w:uiPriority w:val="99"/>
    <w:rPr>
      <w:rFonts w:eastAsia="Times New Roman" w:cs="Times New Roman"/>
      <w:sz w:val="18"/>
      <w:szCs w:val="18"/>
      <w:lang w:eastAsia="uk-UA"/>
    </w:rPr>
  </w:style>
  <w:style w:type="character" w:customStyle="1" w:styleId="38">
    <w:name w:val="页脚 Char"/>
    <w:basedOn w:val="12"/>
    <w:link w:val="4"/>
    <w:qFormat/>
    <w:locked/>
    <w:uiPriority w:val="99"/>
    <w:rPr>
      <w:rFonts w:eastAsia="Times New Roman" w:cs="Times New Roman"/>
      <w:sz w:val="18"/>
      <w:szCs w:val="18"/>
      <w:lang w:eastAsia="uk-UA"/>
    </w:rPr>
  </w:style>
  <w:style w:type="paragraph" w:customStyle="1" w:styleId="39">
    <w:name w:val="Heading 2"/>
    <w:basedOn w:val="1"/>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40">
    <w:name w:val="Table Paragraph"/>
    <w:basedOn w:val="1"/>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14302</Words>
  <Characters>16032</Characters>
  <Lines>127</Lines>
  <Paragraphs>36</Paragraphs>
  <TotalTime>1</TotalTime>
  <ScaleCrop>false</ScaleCrop>
  <LinksUpToDate>false</LinksUpToDate>
  <CharactersWithSpaces>16123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2024-06-11T09:01:13Z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91BEB35A6E0B4BB0B590928E17609A9B</vt:lpwstr>
  </property>
</Properties>
</file>