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涞水县公安交通警察大队</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451涞水县公安交通警察大队</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2989.83</w:t>
            </w:r>
          </w:p>
        </w:tc>
        <w:tc>
          <w:tcPr>
            <w:tcW w:w="4535"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rPr>
                <w:rFonts w:hint="default" w:eastAsia="方正书宋_GBK"/>
                <w:lang w:val="en-US" w:eastAsia="zh-CN"/>
              </w:rPr>
            </w:pPr>
            <w:r>
              <w:rPr>
                <w:rFonts w:hint="eastAsia"/>
                <w:lang w:val="en-US" w:eastAsia="zh-CN"/>
              </w:rPr>
              <w:t>2600.54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185.52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rPr>
              <w:t>58</w:t>
            </w:r>
            <w:r>
              <w:rPr>
                <w:rFonts w:hint="eastAsia"/>
                <w:lang w:val="en-US" w:eastAsia="zh-CN"/>
              </w:rPr>
              <w:t>.</w:t>
            </w:r>
            <w:r>
              <w:rPr>
                <w:rFonts w:hint="eastAsia"/>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bl>
    <w:p>
      <w:pPr>
        <w:tabs>
          <w:tab w:val="left" w:pos="1175"/>
        </w:tabs>
        <w:bidi w:val="0"/>
        <w:jc w:val="left"/>
        <w:rPr>
          <w:lang w:val="en-US"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rPr>
              <w:t>91</w:t>
            </w:r>
            <w:r>
              <w:rPr>
                <w:rFonts w:hint="eastAsia"/>
                <w:lang w:val="en-US" w:eastAsia="zh-CN"/>
              </w:rPr>
              <w:t>.</w:t>
            </w:r>
            <w:r>
              <w:rPr>
                <w:rFonts w:hint="eastAsia"/>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c>
          <w:tcPr>
            <w:tcW w:w="4535" w:type="dxa"/>
            <w:vAlign w:val="center"/>
          </w:tcPr>
          <w:p>
            <w:pPr>
              <w:pStyle w:val="21"/>
            </w:pPr>
            <w:r>
              <w:t>本年支出合计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c>
          <w:tcPr>
            <w:tcW w:w="4535" w:type="dxa"/>
            <w:vAlign w:val="center"/>
          </w:tcPr>
          <w:p>
            <w:pPr>
              <w:pStyle w:val="21"/>
            </w:pPr>
            <w:r>
              <w:t>支出总计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r>
    </w:tbl>
    <w:p>
      <w:pPr>
        <w:sectPr>
          <w:pgSz w:w="16840" w:h="11900" w:orient="landscape"/>
          <w:pgMar w:top="1361" w:right="1020" w:bottom="1134" w:left="1020" w:header="720" w:footer="720" w:gutter="0"/>
          <w:cols w:space="720" w:num="1"/>
        </w:sectPr>
      </w:pPr>
    </w:p>
    <w:tbl>
      <w:tblPr>
        <w:tblStyle w:val="9"/>
        <w:tblW w:w="14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1279"/>
        <w:gridCol w:w="4360"/>
        <w:gridCol w:w="1098"/>
        <w:gridCol w:w="1273"/>
        <w:gridCol w:w="1249"/>
        <w:gridCol w:w="683"/>
        <w:gridCol w:w="613"/>
        <w:gridCol w:w="623"/>
        <w:gridCol w:w="722"/>
        <w:gridCol w:w="767"/>
        <w:gridCol w:w="668"/>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71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Toc_2_2_0000000003"/>
            <w:r>
              <w:rPr>
                <w:rFonts w:hint="eastAsia" w:ascii="方正小标宋_GBK" w:hAnsi="方正小标宋_GBK" w:eastAsia="方正小标宋_GBK" w:cs="方正小标宋_GBK"/>
                <w:color w:val="000000"/>
                <w:sz w:val="36"/>
                <w:lang w:val="en-US" w:eastAsia="zh-CN"/>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944" w:type="dxa"/>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451涞水县公安交通警察大队                                          </w:t>
            </w:r>
            <w:r>
              <w:t>预算年度：202</w:t>
            </w:r>
            <w:r>
              <w:rPr>
                <w:rFonts w:hint="eastAsia" w:eastAsia="宋体"/>
                <w:lang w:val="en-US" w:eastAsia="zh-CN"/>
              </w:rPr>
              <w:t>1</w:t>
            </w:r>
          </w:p>
        </w:tc>
        <w:tc>
          <w:tcPr>
            <w:tcW w:w="2773"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6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10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9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6"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6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6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2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6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616"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2936.7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2936.7</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2936.7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553.46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553.46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553.46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62.00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62.00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38.56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38.56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38.56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0"/>
    </w:p>
    <w:tbl>
      <w:tblPr>
        <w:tblStyle w:val="9"/>
        <w:tblW w:w="14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1148"/>
        <w:gridCol w:w="3912"/>
        <w:gridCol w:w="1609"/>
        <w:gridCol w:w="1148"/>
        <w:gridCol w:w="1148"/>
        <w:gridCol w:w="1149"/>
        <w:gridCol w:w="1938"/>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802"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bookmarkStart w:id="1" w:name="_Toc_2_2_0000000004"/>
            <w:r>
              <w:rPr>
                <w:rFonts w:hint="eastAsia"/>
                <w:lang w:val="en-US" w:eastAsia="zh-CN"/>
              </w:rPr>
              <w:t xml:space="preserve">451涞水县公安交通警察大队                                        </w:t>
            </w:r>
            <w:r>
              <w:t>预算年度：202</w:t>
            </w:r>
            <w:r>
              <w:rPr>
                <w:rFonts w:hint="eastAsia" w:eastAsia="宋体"/>
                <w:lang w:val="en-US" w:eastAsia="zh-CN"/>
              </w:rPr>
              <w:t>1</w:t>
            </w:r>
          </w:p>
        </w:tc>
        <w:tc>
          <w:tcPr>
            <w:tcW w:w="1938"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6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3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8"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9"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2936.70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2321.24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615.46</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615.46</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2600.54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615.46</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553.46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553.46</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62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62</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38.56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38.56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Calibri" w:hAnsi="Calibri" w:eastAsia="宋体" w:cs="Calibri"/>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tbl>
      <w:tblPr>
        <w:tblStyle w:val="9"/>
        <w:tblW w:w="14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7"/>
        <w:gridCol w:w="2475"/>
        <w:gridCol w:w="975"/>
        <w:gridCol w:w="2925"/>
        <w:gridCol w:w="870"/>
        <w:gridCol w:w="1980"/>
        <w:gridCol w:w="206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2" w:name="_Toc_2_2_0000000005"/>
            <w:r>
              <w:rPr>
                <w:rFonts w:hint="eastAsia" w:ascii="方正小标宋_GBK" w:hAnsi="方正小标宋_GBK" w:eastAsia="方正小标宋_GBK" w:cs="方正小标宋_GBK"/>
                <w:color w:val="000000"/>
                <w:sz w:val="36"/>
                <w:lang w:val="en-US" w:eastAsia="zh-CN"/>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082" w:type="dxa"/>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 xml:space="preserve">451涞水县公安交通警察大队                                             </w:t>
            </w:r>
            <w:r>
              <w:t>预算年度：202</w:t>
            </w:r>
            <w:r>
              <w:rPr>
                <w:rFonts w:hint="eastAsia" w:eastAsia="宋体"/>
                <w:lang w:val="en-US" w:eastAsia="zh-CN"/>
              </w:rPr>
              <w:t>1</w:t>
            </w:r>
          </w:p>
        </w:tc>
        <w:tc>
          <w:tcPr>
            <w:tcW w:w="2064"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376"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3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3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uk-UA" w:bidi="ar-SA"/>
              </w:rPr>
            </w:pPr>
            <w:r>
              <w:rPr>
                <w:rFonts w:hint="eastAsia" w:ascii="宋体" w:hAnsi="宋体" w:eastAsia="宋体" w:cs="宋体"/>
                <w:i w:val="0"/>
                <w:iCs w:val="0"/>
                <w:color w:val="000000"/>
                <w:kern w:val="0"/>
                <w:sz w:val="18"/>
                <w:szCs w:val="18"/>
                <w:u w:val="none"/>
                <w:lang w:val="en-US" w:eastAsia="zh-CN" w:bidi="ar"/>
              </w:rPr>
              <w:t>2936.70</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2600.54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2600.54</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185.52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185.52</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58.79</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58.79</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91.85</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uk-UA" w:bidi="ar-SA"/>
              </w:rPr>
            </w:pPr>
            <w:r>
              <w:rPr>
                <w:rFonts w:hint="eastAsia" w:ascii="宋体" w:hAnsi="宋体" w:eastAsia="宋体" w:cs="宋体"/>
                <w:i w:val="0"/>
                <w:iCs w:val="0"/>
                <w:color w:val="000000"/>
                <w:kern w:val="0"/>
                <w:sz w:val="18"/>
                <w:szCs w:val="18"/>
                <w:u w:val="none"/>
                <w:lang w:val="en-US" w:eastAsia="zh-CN" w:bidi="ar"/>
              </w:rPr>
              <w:t>2936.70</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29367000.00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uk-UA" w:bidi="ar-SA"/>
              </w:rPr>
            </w:pPr>
            <w:r>
              <w:rPr>
                <w:rFonts w:hint="eastAsia" w:ascii="宋体" w:hAnsi="宋体" w:eastAsia="宋体" w:cs="宋体"/>
                <w:i w:val="0"/>
                <w:iCs w:val="0"/>
                <w:color w:val="000000"/>
                <w:kern w:val="0"/>
                <w:sz w:val="18"/>
                <w:szCs w:val="18"/>
                <w:u w:val="none"/>
                <w:lang w:val="en-US" w:eastAsia="zh-CN" w:bidi="ar"/>
              </w:rPr>
              <w:t>2936.70</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29367000.00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2"/>
    <w:p>
      <w:pPr>
        <w:sectPr>
          <w:pgSz w:w="16840" w:h="11900" w:orient="landscape"/>
          <w:pgMar w:top="1361" w:right="1020" w:bottom="1134" w:left="1020" w:header="720" w:footer="720" w:gutter="0"/>
          <w:cols w:space="720" w:num="1"/>
        </w:sectPr>
      </w:pPr>
    </w:p>
    <w:tbl>
      <w:tblPr>
        <w:tblStyle w:val="9"/>
        <w:tblW w:w="27781"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185"/>
        <w:gridCol w:w="4560"/>
        <w:gridCol w:w="2520"/>
        <w:gridCol w:w="2550"/>
        <w:gridCol w:w="2550"/>
        <w:gridCol w:w="1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560" w:hRule="atLeast"/>
        </w:trPr>
        <w:tc>
          <w:tcPr>
            <w:tcW w:w="142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bookmarkStart w:id="3" w:name="_Toc_2_2_0000000007"/>
            <w:r>
              <w:rPr>
                <w:rFonts w:hint="eastAsia" w:ascii="方正小标宋_GBK" w:hAnsi="方正小标宋_GBK" w:eastAsia="方正小标宋_GBK" w:cs="方正小标宋_GBK"/>
                <w:color w:val="000000"/>
                <w:sz w:val="36"/>
                <w:lang w:val="en-US" w:eastAsia="zh-CN"/>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90" w:hRule="atLeast"/>
        </w:trPr>
        <w:tc>
          <w:tcPr>
            <w:tcW w:w="910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lang w:val="en-US" w:eastAsia="zh-CN"/>
              </w:rPr>
              <w:t xml:space="preserve">451涞水县公安交通警察大队                                             </w:t>
            </w:r>
            <w:r>
              <w:t>预算年度：2022</w:t>
            </w:r>
            <w:r>
              <w:rPr>
                <w:rFonts w:hint="eastAsia" w:eastAsia="宋体"/>
                <w:lang w:val="en-US" w:eastAsia="zh-CN"/>
              </w:rPr>
              <w:t>1</w:t>
            </w: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uk-UA" w:bidi="ar-SA"/>
              </w:rPr>
            </w:pP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序号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57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支出功能分类科目</w:t>
            </w:r>
          </w:p>
        </w:tc>
        <w:tc>
          <w:tcPr>
            <w:tcW w:w="7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13576" w:type="dxa"/>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科目编码</w:t>
            </w:r>
          </w:p>
        </w:tc>
        <w:tc>
          <w:tcPr>
            <w:tcW w:w="456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小计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人员经费</w:t>
            </w:r>
          </w:p>
        </w:tc>
        <w:tc>
          <w:tcPr>
            <w:tcW w:w="13576" w:type="dxa"/>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13576" w:type="dxa"/>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2936.70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2321.24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1634.80</w:t>
            </w:r>
          </w:p>
        </w:tc>
        <w:tc>
          <w:tcPr>
            <w:tcW w:w="13576" w:type="dxa"/>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公共安全支出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2600.54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1298.64</w:t>
            </w:r>
          </w:p>
        </w:tc>
        <w:tc>
          <w:tcPr>
            <w:tcW w:w="13576" w:type="dxa"/>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公安</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2600.54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1298.64</w:t>
            </w:r>
          </w:p>
        </w:tc>
        <w:tc>
          <w:tcPr>
            <w:tcW w:w="13576" w:type="dxa"/>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1298.64</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553.46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3576" w:type="dxa"/>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2040220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执法办案</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62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3576" w:type="dxa"/>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185.52</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146.96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146.96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146.96</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58.79</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sz w:val="22"/>
                <w:szCs w:val="22"/>
                <w:u w:val="none"/>
                <w:lang w:val="en-US" w:eastAsia="zh-CN" w:bidi="ar-SA"/>
              </w:rPr>
              <w:t>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sz w:val="22"/>
                <w:szCs w:val="22"/>
                <w:u w:val="none"/>
                <w:lang w:val="en-US" w:eastAsia="zh-CN" w:bidi="ar-SA"/>
              </w:rPr>
              <w:t>0</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18"/>
                <w:szCs w:val="18"/>
                <w:u w:val="none"/>
                <w:lang w:val="en-US" w:eastAsia="zh-CN" w:bidi="ar"/>
              </w:rPr>
              <w:t>91.85</w:t>
            </w:r>
          </w:p>
        </w:tc>
        <w:tc>
          <w:tcPr>
            <w:tcW w:w="13576" w:type="dxa"/>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9.72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9.72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0.28</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0.28</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0.28</w:t>
            </w:r>
          </w:p>
        </w:tc>
      </w:tr>
    </w:tbl>
    <w:p>
      <w:pPr>
        <w:jc w:val="center"/>
        <w:outlineLvl w:val="1"/>
        <w:rPr>
          <w:rFonts w:ascii="方正小标宋_GBK" w:hAnsi="方正小标宋_GBK" w:eastAsia="方正小标宋_GBK" w:cs="方正小标宋_GBK"/>
          <w:color w:val="000000"/>
          <w:sz w:val="36"/>
        </w:rPr>
      </w:pPr>
    </w:p>
    <w:tbl>
      <w:tblPr>
        <w:tblStyle w:val="9"/>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125"/>
        <w:gridCol w:w="4590"/>
        <w:gridCol w:w="2520"/>
        <w:gridCol w:w="253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48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6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451涞水县公安交通警察大队                                                        </w:t>
            </w:r>
            <w:r>
              <w:t>预算年度：202</w:t>
            </w:r>
            <w:r>
              <w:rPr>
                <w:rFonts w:hint="eastAsia" w:eastAsia="宋体"/>
                <w:lang w:val="en-US" w:eastAsia="zh-CN"/>
              </w:rPr>
              <w:t>1</w:t>
            </w:r>
          </w:p>
        </w:tc>
        <w:tc>
          <w:tcPr>
            <w:tcW w:w="2535"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58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5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2321.24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1634.80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1634.80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1634.80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493.43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493.43</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550.50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550.50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6.12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6.12</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239.18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239.18</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146.96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58.79</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9.41</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9.41</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91.85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686.44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686.44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33.00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15.00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538.10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538.10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10.94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13.00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9.72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0.28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0.28</w:t>
            </w: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3"/>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 xml:space="preserve">451涞水县公安交通警察大队 </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ascii="方正小标宋_GBK" w:hAnsi="方正小标宋_GBK" w:eastAsia="方正小标宋_GBK" w:cs="方正小标宋_GBK"/>
          <w:color w:val="000000"/>
          <w:sz w:val="36"/>
        </w:rPr>
        <w:t>部门预算国有资本经营预算财政拨款支出表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 xml:space="preserve">451涞水县公安交通警察大队 </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ascii="方正小标宋_GBK" w:hAnsi="方正小标宋_GBK" w:eastAsia="方正小标宋_GBK" w:cs="方正小标宋_GBK"/>
          <w:color w:val="000000"/>
          <w:sz w:val="36"/>
        </w:rPr>
        <w:t>部门预算财政拨款“三公”经费支出表</w:t>
      </w:r>
      <w:bookmarkEnd w:id="5"/>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520"/>
        <w:gridCol w:w="1710"/>
        <w:gridCol w:w="1878"/>
        <w:gridCol w:w="2381"/>
        <w:gridCol w:w="4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451涞水县公安交通警察大队 </w:t>
            </w:r>
          </w:p>
        </w:tc>
        <w:tc>
          <w:tcPr>
            <w:tcW w:w="238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default"/>
                <w:lang w:val="en-US" w:eastAsia="zh-CN"/>
              </w:rPr>
            </w:pPr>
            <w:r>
              <w:rPr>
                <w:rFonts w:hint="eastAsia"/>
                <w:lang w:val="en-US" w:eastAsia="zh-CN"/>
              </w:rPr>
              <w:t>预算年度：2021</w:t>
            </w:r>
          </w:p>
        </w:tc>
        <w:tc>
          <w:tcPr>
            <w:tcW w:w="4762" w:type="dxa"/>
            <w:tcBorders>
              <w:top w:val="single" w:color="FFFFFF" w:sz="6" w:space="0"/>
              <w:left w:val="single" w:color="FFFFFF" w:sz="6" w:space="0"/>
              <w:right w:val="single" w:color="FFFFFF" w:sz="6" w:space="0"/>
            </w:tcBorders>
            <w:vAlign w:val="center"/>
          </w:tcPr>
          <w:p>
            <w:pPr>
              <w:keepNext w:val="0"/>
              <w:keepLines w:val="0"/>
              <w:widowControl/>
              <w:suppressLineNumbers w:val="0"/>
              <w:ind w:firstLine="3120" w:firstLineChars="1300"/>
              <w:jc w:val="left"/>
              <w:textAlignment w:val="center"/>
              <w:rPr>
                <w:rFonts w:hint="eastAsia"/>
                <w:lang w:val="en-US" w:eastAsia="zh-CN"/>
              </w:rPr>
            </w:pPr>
            <w:r>
              <w:rPr>
                <w:rFonts w:hint="eastAsia"/>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序号</w:t>
            </w:r>
          </w:p>
        </w:tc>
        <w:tc>
          <w:tcPr>
            <w:tcW w:w="2520"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0731" w:type="dxa"/>
            <w:gridSpan w:val="4"/>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Merge w:val="continue"/>
            <w:vAlign w:val="center"/>
          </w:tcPr>
          <w:p>
            <w:pPr>
              <w:jc w:val="center"/>
            </w:pPr>
          </w:p>
        </w:tc>
        <w:tc>
          <w:tcPr>
            <w:tcW w:w="2520" w:type="dxa"/>
            <w:vMerge w:val="continue"/>
            <w:vAlign w:val="center"/>
          </w:tcPr>
          <w:p>
            <w:pPr>
              <w:jc w:val="center"/>
            </w:pP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政府性基金财政拨款</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252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710"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“三公”经费小计</w:t>
            </w:r>
          </w:p>
        </w:tc>
        <w:tc>
          <w:tcPr>
            <w:tcW w:w="1710" w:type="dxa"/>
            <w:vAlign w:val="top"/>
          </w:tcPr>
          <w:p>
            <w:pPr>
              <w:jc w:val="right"/>
              <w:rPr>
                <w:rFonts w:hint="default" w:eastAsia="宋体"/>
                <w:lang w:val="en-US" w:eastAsia="zh-CN"/>
              </w:rPr>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1710"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1710"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三、公务接待费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四、会议费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五、培训费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widowControl/>
        <w:spacing w:line="560" w:lineRule="exact"/>
        <w:jc w:val="center"/>
        <w:rPr>
          <w:rFonts w:ascii="宋体" w:cs="宋体"/>
          <w:b/>
          <w:kern w:val="0"/>
          <w:sz w:val="44"/>
          <w:szCs w:val="44"/>
        </w:rPr>
      </w:pPr>
      <w:r>
        <w:rPr>
          <w:rFonts w:hint="eastAsia" w:ascii="宋体" w:hAnsi="宋体" w:cs="宋体"/>
          <w:b/>
          <w:kern w:val="0"/>
          <w:sz w:val="44"/>
          <w:szCs w:val="44"/>
        </w:rPr>
        <w:t>涞水县公安交通警察大队</w:t>
      </w:r>
    </w:p>
    <w:p>
      <w:pPr>
        <w:widowControl/>
        <w:spacing w:line="560" w:lineRule="exact"/>
        <w:jc w:val="center"/>
        <w:rPr>
          <w:rFonts w:hint="eastAsia" w:ascii="宋体" w:hAnsi="宋体" w:cs="宋体"/>
          <w:b/>
          <w:kern w:val="0"/>
          <w:sz w:val="44"/>
          <w:szCs w:val="44"/>
        </w:rPr>
      </w:pPr>
      <w:r>
        <w:rPr>
          <w:rFonts w:ascii="宋体" w:hAnsi="宋体" w:cs="宋体"/>
          <w:b/>
          <w:kern w:val="0"/>
          <w:sz w:val="44"/>
          <w:szCs w:val="44"/>
        </w:rPr>
        <w:t>202</w:t>
      </w:r>
      <w:r>
        <w:rPr>
          <w:rFonts w:hint="eastAsia" w:ascii="宋体" w:hAnsi="宋体" w:eastAsia="宋体" w:cs="宋体"/>
          <w:b/>
          <w:kern w:val="0"/>
          <w:sz w:val="44"/>
          <w:szCs w:val="44"/>
          <w:lang w:val="en-US" w:eastAsia="zh-CN"/>
        </w:rPr>
        <w:t>1</w:t>
      </w:r>
      <w:r>
        <w:rPr>
          <w:rFonts w:hint="eastAsia" w:ascii="宋体" w:hAnsi="宋体" w:cs="宋体"/>
          <w:b/>
          <w:kern w:val="0"/>
          <w:sz w:val="44"/>
          <w:szCs w:val="44"/>
        </w:rPr>
        <w:t>年部门预算公开有关事项的说明</w:t>
      </w:r>
    </w:p>
    <w:p>
      <w:pPr>
        <w:widowControl/>
        <w:spacing w:line="560" w:lineRule="exact"/>
        <w:jc w:val="center"/>
        <w:rPr>
          <w:rFonts w:ascii="宋体" w:cs="仿宋"/>
          <w:b/>
          <w:kern w:val="0"/>
          <w:sz w:val="44"/>
          <w:szCs w:val="44"/>
        </w:rPr>
      </w:pPr>
    </w:p>
    <w:p>
      <w:pPr>
        <w:spacing w:line="560" w:lineRule="exact"/>
        <w:ind w:firstLine="720" w:firstLineChars="225"/>
        <w:rPr>
          <w:rFonts w:cs="仿宋" w:asciiTheme="minorEastAsia" w:hAnsiTheme="minorEastAsia" w:eastAsiaTheme="minorEastAsia"/>
          <w:bCs/>
          <w:kern w:val="0"/>
          <w:sz w:val="32"/>
          <w:szCs w:val="32"/>
        </w:rPr>
      </w:pPr>
      <w:r>
        <w:rPr>
          <w:rFonts w:hint="eastAsia" w:cs="仿宋" w:asciiTheme="minorEastAsia" w:hAnsiTheme="minorEastAsia" w:eastAsiaTheme="minorEastAsia"/>
          <w:sz w:val="32"/>
          <w:szCs w:val="32"/>
        </w:rPr>
        <w:t>按照《</w:t>
      </w:r>
      <w:r>
        <w:rPr>
          <w:rFonts w:hint="eastAsia" w:cs="仿宋" w:asciiTheme="minorEastAsia" w:hAnsiTheme="minorEastAsia" w:eastAsiaTheme="minorEastAsia"/>
          <w:sz w:val="32"/>
          <w:szCs w:val="32"/>
          <w:lang w:val="en-US" w:eastAsia="zh-CN"/>
        </w:rPr>
        <w:t>中华人民共和国</w:t>
      </w:r>
      <w:r>
        <w:rPr>
          <w:rFonts w:hint="eastAsia" w:cs="仿宋" w:asciiTheme="minorEastAsia" w:hAnsiTheme="minorEastAsia" w:eastAsiaTheme="minorEastAsia"/>
          <w:sz w:val="32"/>
          <w:szCs w:val="32"/>
        </w:rPr>
        <w:t>预算法》、《地方预决算公开操作规程》和《河北省省级预算公开办法》规定，现将涞水县公安交通警察大队</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年部门预算公开如下：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一、部门职责及机构设置情况</w:t>
      </w:r>
    </w:p>
    <w:p>
      <w:pPr>
        <w:snapToGrid w:val="0"/>
        <w:spacing w:line="560" w:lineRule="exact"/>
        <w:ind w:firstLine="643" w:firstLineChars="200"/>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、基本职责</w:t>
      </w:r>
    </w:p>
    <w:p>
      <w:pPr>
        <w:spacing w:line="56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单位主要职能是贯彻执行道路交通管理工作的法律、法规和政策，检查落实勤务制度，组织辖区民警上路查处道路交通违法行为，负责辖区的交通安全宣传教育工作。</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（一）、依法对全县道路交通实行统一管理，维护全县道路交通秩序，预防和减少交通事故。</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（二）、在支队指导下，根据本县道路交通情况，适时组织各种交通安全的专项治理。</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（三）、具体负责全县机动车辆及驾驶员的管理业务。</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（四）、负责境内各种交通事故的调查、分析、责任认定、调解处理、事故统计工作，并向有关领导和部门提出本县事故预防对策。具体组织各项交通勤务，保证安全有序、畅通的道路交通环境。</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（五）、做好交通安全工作。</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（六）、负责本大队财务工作的管理、指导和监督。</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（七）、做好上级领导机关交办的其他工作任务。</w:t>
      </w:r>
    </w:p>
    <w:p>
      <w:pPr>
        <w:snapToGrid w:val="0"/>
        <w:spacing w:line="560" w:lineRule="exact"/>
        <w:ind w:firstLine="964" w:firstLineChars="3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、机构设置</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本单位成立于</w:t>
      </w:r>
      <w:r>
        <w:rPr>
          <w:rFonts w:cs="仿宋" w:asciiTheme="minorEastAsia" w:hAnsiTheme="minorEastAsia" w:eastAsiaTheme="minorEastAsia"/>
          <w:sz w:val="32"/>
          <w:szCs w:val="32"/>
        </w:rPr>
        <w:t>1987</w:t>
      </w:r>
      <w:r>
        <w:rPr>
          <w:rFonts w:hint="eastAsia" w:cs="仿宋" w:asciiTheme="minorEastAsia" w:hAnsiTheme="minorEastAsia" w:eastAsiaTheme="minorEastAsia"/>
          <w:sz w:val="32"/>
          <w:szCs w:val="32"/>
        </w:rPr>
        <w:t>年</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月，现法人代表是张旋，属于行政单位，独立的财务核算部门，严格执行财务会计制度。下设部门有办公室、财务室、宣教科、车辆管理所、事故处理科、法制室、抓拍中队、重点车辆监管科、</w:t>
      </w: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个岗勤中队、</w:t>
      </w: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个巡警中队、</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个机动中队和</w:t>
      </w: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个外驻中队。</w:t>
      </w:r>
    </w:p>
    <w:p>
      <w:pPr>
        <w:snapToGrid w:val="0"/>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、单位编制情况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我部门编制</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人，在职人员</w:t>
      </w:r>
      <w:r>
        <w:rPr>
          <w:rFonts w:hint="eastAsia" w:cs="仿宋" w:asciiTheme="minorEastAsia" w:hAnsiTheme="minorEastAsia" w:eastAsiaTheme="minorEastAsia"/>
          <w:sz w:val="32"/>
          <w:szCs w:val="32"/>
          <w:lang w:val="en-US" w:eastAsia="zh-CN"/>
        </w:rPr>
        <w:t>306</w:t>
      </w:r>
      <w:r>
        <w:rPr>
          <w:rFonts w:hint="eastAsia" w:cs="仿宋" w:asciiTheme="minorEastAsia" w:hAnsiTheme="minorEastAsia" w:eastAsiaTheme="minorEastAsia"/>
          <w:sz w:val="32"/>
          <w:szCs w:val="32"/>
        </w:rPr>
        <w:t>人，退休人员</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人。另有财政全额保障人员</w:t>
      </w: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人，自收自支人员</w:t>
      </w:r>
      <w:r>
        <w:rPr>
          <w:rFonts w:cs="仿宋" w:asciiTheme="minorEastAsia" w:hAnsiTheme="minorEastAsia" w:eastAsiaTheme="minorEastAsia"/>
          <w:sz w:val="32"/>
          <w:szCs w:val="32"/>
        </w:rPr>
        <w:t>94</w:t>
      </w:r>
      <w:r>
        <w:rPr>
          <w:rFonts w:hint="eastAsia" w:cs="仿宋" w:asciiTheme="minorEastAsia" w:hAnsiTheme="minorEastAsia" w:eastAsiaTheme="minorEastAsia"/>
          <w:sz w:val="32"/>
          <w:szCs w:val="32"/>
        </w:rPr>
        <w:t>人</w:t>
      </w:r>
      <w:r>
        <w:rPr>
          <w:rFonts w:cs="仿宋" w:asciiTheme="minorEastAsia" w:hAnsiTheme="minorEastAsia" w:eastAsiaTheme="minorEastAsia"/>
          <w:sz w:val="32"/>
          <w:szCs w:val="32"/>
        </w:rPr>
        <w:t xml:space="preserve"> </w:t>
      </w:r>
      <w:bookmarkStart w:id="6" w:name="_Toc536088156"/>
      <w:r>
        <w:rPr>
          <w:rFonts w:hint="eastAsia" w:cs="仿宋" w:asciiTheme="minorEastAsia" w:hAnsiTheme="minorEastAsia" w:eastAsiaTheme="minorEastAsia"/>
          <w:sz w:val="32"/>
          <w:szCs w:val="32"/>
        </w:rPr>
        <w:t>，劳务派遣人员1</w:t>
      </w:r>
      <w:r>
        <w:rPr>
          <w:rFonts w:hint="eastAsia" w:cs="仿宋" w:asciiTheme="minorEastAsia" w:hAnsiTheme="minorEastAsia" w:eastAsiaTheme="minorEastAsia"/>
          <w:sz w:val="32"/>
          <w:szCs w:val="32"/>
          <w:lang w:val="en-US" w:eastAsia="zh-CN"/>
        </w:rPr>
        <w:t>56</w:t>
      </w:r>
      <w:r>
        <w:rPr>
          <w:rFonts w:hint="eastAsia" w:cs="仿宋" w:asciiTheme="minorEastAsia" w:hAnsiTheme="minorEastAsia" w:eastAsiaTheme="minorEastAsia"/>
          <w:sz w:val="32"/>
          <w:szCs w:val="32"/>
        </w:rPr>
        <w:t>人。</w:t>
      </w:r>
    </w:p>
    <w:p>
      <w:pPr>
        <w:jc w:val="center"/>
        <w:outlineLvl w:val="0"/>
        <w:rPr>
          <w:rFonts w:ascii="仿宋" w:hAnsi="仿宋" w:eastAsia="仿宋" w:cs="仿宋"/>
          <w:sz w:val="32"/>
          <w:szCs w:val="32"/>
        </w:rPr>
      </w:pPr>
      <w:r>
        <w:rPr>
          <w:rFonts w:hint="eastAsia" w:ascii="仿宋" w:hAnsi="仿宋" w:eastAsia="仿宋" w:cs="仿宋"/>
          <w:sz w:val="32"/>
          <w:szCs w:val="32"/>
        </w:rPr>
        <w:t>部门基本情况表</w:t>
      </w:r>
      <w:bookmarkEnd w:id="6"/>
    </w:p>
    <w:tbl>
      <w:tblPr>
        <w:tblStyle w:val="9"/>
        <w:tblW w:w="10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5"/>
        <w:gridCol w:w="1429"/>
        <w:gridCol w:w="1056"/>
        <w:gridCol w:w="1812"/>
        <w:gridCol w:w="959"/>
        <w:gridCol w:w="562"/>
        <w:gridCol w:w="685"/>
        <w:gridCol w:w="514"/>
        <w:gridCol w:w="700"/>
        <w:gridCol w:w="356"/>
        <w:gridCol w:w="604"/>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463" w:type="dxa"/>
            <w:gridSpan w:val="6"/>
            <w:tcBorders>
              <w:top w:val="single" w:color="FFFFFF" w:sz="6" w:space="0"/>
              <w:left w:val="single" w:color="FFFFFF" w:sz="6" w:space="0"/>
              <w:right w:val="single" w:color="FFFFFF" w:sz="6" w:space="0"/>
            </w:tcBorders>
            <w:vAlign w:val="center"/>
          </w:tcPr>
          <w:p>
            <w:pPr>
              <w:spacing w:line="300" w:lineRule="exact"/>
              <w:jc w:val="left"/>
              <w:rPr>
                <w:rFonts w:ascii="宋体" w:cs="宋体"/>
                <w:szCs w:val="21"/>
              </w:rPr>
            </w:pPr>
            <w:r>
              <w:rPr>
                <w:rFonts w:ascii="宋体" w:hAnsi="宋体" w:cs="宋体"/>
                <w:szCs w:val="21"/>
              </w:rPr>
              <w:t>451</w:t>
            </w:r>
            <w:r>
              <w:rPr>
                <w:rFonts w:hint="eastAsia" w:ascii="宋体" w:hAnsi="宋体" w:cs="宋体"/>
                <w:szCs w:val="21"/>
              </w:rPr>
              <w:t>涞水县公安交通警察大队</w:t>
            </w:r>
          </w:p>
        </w:tc>
        <w:tc>
          <w:tcPr>
            <w:tcW w:w="3316"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cs="宋体"/>
                <w:szCs w:val="21"/>
              </w:rPr>
            </w:pPr>
            <w:r>
              <w:rPr>
                <w:rFonts w:hint="eastAsia" w:ascii="宋体" w:hAnsi="宋体" w:cs="宋体"/>
                <w:szCs w:val="21"/>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645" w:type="dxa"/>
            <w:vMerge w:val="restart"/>
            <w:vAlign w:val="center"/>
          </w:tcPr>
          <w:p>
            <w:pPr>
              <w:spacing w:line="300" w:lineRule="exact"/>
              <w:jc w:val="center"/>
              <w:rPr>
                <w:rFonts w:ascii="宋体" w:cs="宋体"/>
                <w:b/>
                <w:szCs w:val="21"/>
              </w:rPr>
            </w:pPr>
            <w:r>
              <w:rPr>
                <w:rFonts w:hint="eastAsia" w:ascii="宋体" w:hAnsi="宋体" w:cs="宋体"/>
                <w:b/>
                <w:szCs w:val="21"/>
              </w:rPr>
              <w:t>单位名称</w:t>
            </w:r>
          </w:p>
        </w:tc>
        <w:tc>
          <w:tcPr>
            <w:tcW w:w="1429" w:type="dxa"/>
            <w:vMerge w:val="restart"/>
            <w:vAlign w:val="center"/>
          </w:tcPr>
          <w:p>
            <w:pPr>
              <w:spacing w:line="300" w:lineRule="exact"/>
              <w:jc w:val="center"/>
              <w:rPr>
                <w:rFonts w:ascii="宋体" w:cs="宋体"/>
                <w:b/>
                <w:szCs w:val="21"/>
              </w:rPr>
            </w:pPr>
            <w:r>
              <w:rPr>
                <w:rFonts w:hint="eastAsia" w:ascii="宋体" w:hAnsi="宋体" w:cs="宋体"/>
                <w:b/>
                <w:szCs w:val="21"/>
              </w:rPr>
              <w:t>单位性质</w:t>
            </w:r>
          </w:p>
        </w:tc>
        <w:tc>
          <w:tcPr>
            <w:tcW w:w="1056" w:type="dxa"/>
            <w:vMerge w:val="restart"/>
            <w:vAlign w:val="center"/>
          </w:tcPr>
          <w:p>
            <w:pPr>
              <w:spacing w:line="300" w:lineRule="exact"/>
              <w:jc w:val="center"/>
              <w:rPr>
                <w:rFonts w:ascii="宋体" w:cs="宋体"/>
                <w:b/>
                <w:szCs w:val="21"/>
              </w:rPr>
            </w:pPr>
            <w:r>
              <w:rPr>
                <w:rFonts w:hint="eastAsia" w:ascii="宋体" w:hAnsi="宋体" w:cs="宋体"/>
                <w:b/>
                <w:szCs w:val="21"/>
              </w:rPr>
              <w:t>单位规格</w:t>
            </w:r>
          </w:p>
        </w:tc>
        <w:tc>
          <w:tcPr>
            <w:tcW w:w="1812" w:type="dxa"/>
            <w:vMerge w:val="restart"/>
            <w:vAlign w:val="center"/>
          </w:tcPr>
          <w:p>
            <w:pPr>
              <w:spacing w:line="300" w:lineRule="exact"/>
              <w:jc w:val="center"/>
              <w:rPr>
                <w:rFonts w:ascii="宋体" w:cs="宋体"/>
                <w:b/>
                <w:szCs w:val="21"/>
              </w:rPr>
            </w:pPr>
            <w:r>
              <w:rPr>
                <w:rFonts w:hint="eastAsia" w:ascii="宋体" w:hAnsi="宋体" w:cs="宋体"/>
                <w:b/>
                <w:szCs w:val="21"/>
              </w:rPr>
              <w:t>经费保障形式</w:t>
            </w:r>
          </w:p>
        </w:tc>
        <w:tc>
          <w:tcPr>
            <w:tcW w:w="959" w:type="dxa"/>
            <w:vMerge w:val="restart"/>
            <w:vAlign w:val="center"/>
          </w:tcPr>
          <w:p>
            <w:pPr>
              <w:spacing w:line="300" w:lineRule="exact"/>
              <w:jc w:val="center"/>
              <w:rPr>
                <w:rFonts w:ascii="宋体" w:cs="宋体"/>
                <w:b/>
                <w:szCs w:val="21"/>
              </w:rPr>
            </w:pPr>
            <w:r>
              <w:rPr>
                <w:rFonts w:hint="eastAsia" w:ascii="宋体" w:hAnsi="宋体" w:cs="宋体"/>
                <w:b/>
                <w:szCs w:val="21"/>
              </w:rPr>
              <w:t>车辆实有数</w:t>
            </w:r>
          </w:p>
        </w:tc>
        <w:tc>
          <w:tcPr>
            <w:tcW w:w="1247" w:type="dxa"/>
            <w:gridSpan w:val="2"/>
            <w:vAlign w:val="center"/>
          </w:tcPr>
          <w:p>
            <w:pPr>
              <w:spacing w:line="300" w:lineRule="exact"/>
              <w:jc w:val="center"/>
              <w:rPr>
                <w:rFonts w:ascii="宋体" w:cs="宋体"/>
                <w:b/>
                <w:szCs w:val="21"/>
              </w:rPr>
            </w:pPr>
            <w:r>
              <w:rPr>
                <w:rFonts w:hint="eastAsia" w:ascii="宋体" w:hAnsi="宋体" w:cs="宋体"/>
                <w:b/>
                <w:szCs w:val="21"/>
              </w:rPr>
              <w:t>编制人数</w:t>
            </w:r>
          </w:p>
        </w:tc>
        <w:tc>
          <w:tcPr>
            <w:tcW w:w="1214" w:type="dxa"/>
            <w:gridSpan w:val="2"/>
            <w:vAlign w:val="center"/>
          </w:tcPr>
          <w:p>
            <w:pPr>
              <w:spacing w:line="300" w:lineRule="exact"/>
              <w:jc w:val="center"/>
              <w:rPr>
                <w:rFonts w:ascii="宋体" w:cs="宋体"/>
                <w:b/>
                <w:szCs w:val="21"/>
              </w:rPr>
            </w:pPr>
            <w:r>
              <w:rPr>
                <w:rFonts w:hint="eastAsia" w:ascii="宋体" w:hAnsi="宋体" w:cs="宋体"/>
                <w:b/>
                <w:szCs w:val="21"/>
              </w:rPr>
              <w:t>在职人数</w:t>
            </w:r>
          </w:p>
        </w:tc>
        <w:tc>
          <w:tcPr>
            <w:tcW w:w="1417" w:type="dxa"/>
            <w:gridSpan w:val="3"/>
            <w:vAlign w:val="center"/>
          </w:tcPr>
          <w:p>
            <w:pPr>
              <w:spacing w:line="300" w:lineRule="exact"/>
              <w:jc w:val="center"/>
              <w:rPr>
                <w:rFonts w:ascii="宋体" w:cs="宋体"/>
                <w:b/>
                <w:szCs w:val="21"/>
              </w:rPr>
            </w:pPr>
            <w:r>
              <w:rPr>
                <w:rFonts w:hint="eastAsia" w:ascii="宋体" w:hAnsi="宋体" w:cs="宋体"/>
                <w:b/>
                <w:szCs w:val="21"/>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645" w:type="dxa"/>
            <w:vMerge w:val="continue"/>
            <w:vAlign w:val="center"/>
          </w:tcPr>
          <w:p>
            <w:pPr>
              <w:spacing w:line="300" w:lineRule="exact"/>
              <w:jc w:val="left"/>
              <w:outlineLvl w:val="0"/>
              <w:rPr>
                <w:rFonts w:ascii="宋体" w:cs="宋体"/>
                <w:szCs w:val="21"/>
              </w:rPr>
            </w:pPr>
          </w:p>
        </w:tc>
        <w:tc>
          <w:tcPr>
            <w:tcW w:w="1429" w:type="dxa"/>
            <w:vMerge w:val="continue"/>
            <w:vAlign w:val="center"/>
          </w:tcPr>
          <w:p>
            <w:pPr>
              <w:spacing w:line="300" w:lineRule="exact"/>
              <w:jc w:val="left"/>
              <w:outlineLvl w:val="0"/>
              <w:rPr>
                <w:rFonts w:ascii="宋体" w:cs="宋体"/>
                <w:szCs w:val="21"/>
              </w:rPr>
            </w:pPr>
          </w:p>
        </w:tc>
        <w:tc>
          <w:tcPr>
            <w:tcW w:w="1056" w:type="dxa"/>
            <w:vMerge w:val="continue"/>
            <w:vAlign w:val="center"/>
          </w:tcPr>
          <w:p>
            <w:pPr>
              <w:spacing w:line="300" w:lineRule="exact"/>
              <w:jc w:val="left"/>
              <w:outlineLvl w:val="0"/>
              <w:rPr>
                <w:rFonts w:ascii="宋体" w:cs="宋体"/>
                <w:szCs w:val="21"/>
              </w:rPr>
            </w:pPr>
          </w:p>
        </w:tc>
        <w:tc>
          <w:tcPr>
            <w:tcW w:w="1812" w:type="dxa"/>
            <w:vMerge w:val="continue"/>
            <w:vAlign w:val="center"/>
          </w:tcPr>
          <w:p>
            <w:pPr>
              <w:spacing w:line="300" w:lineRule="exact"/>
              <w:jc w:val="left"/>
              <w:outlineLvl w:val="0"/>
              <w:rPr>
                <w:rFonts w:ascii="宋体" w:cs="宋体"/>
                <w:szCs w:val="21"/>
              </w:rPr>
            </w:pPr>
          </w:p>
        </w:tc>
        <w:tc>
          <w:tcPr>
            <w:tcW w:w="959" w:type="dxa"/>
            <w:vMerge w:val="continue"/>
            <w:vAlign w:val="center"/>
          </w:tcPr>
          <w:p>
            <w:pPr>
              <w:spacing w:line="300" w:lineRule="exact"/>
              <w:jc w:val="left"/>
              <w:outlineLvl w:val="0"/>
              <w:rPr>
                <w:rFonts w:ascii="宋体" w:cs="宋体"/>
                <w:szCs w:val="21"/>
              </w:rPr>
            </w:pPr>
          </w:p>
        </w:tc>
        <w:tc>
          <w:tcPr>
            <w:tcW w:w="562" w:type="dxa"/>
            <w:vAlign w:val="center"/>
          </w:tcPr>
          <w:p>
            <w:pPr>
              <w:spacing w:line="300" w:lineRule="exact"/>
              <w:jc w:val="center"/>
              <w:rPr>
                <w:rFonts w:ascii="宋体" w:cs="宋体"/>
                <w:b/>
                <w:szCs w:val="21"/>
              </w:rPr>
            </w:pPr>
            <w:r>
              <w:rPr>
                <w:rFonts w:hint="eastAsia" w:ascii="宋体" w:hAnsi="宋体" w:cs="宋体"/>
                <w:b/>
                <w:szCs w:val="21"/>
              </w:rPr>
              <w:t>行政</w:t>
            </w:r>
          </w:p>
        </w:tc>
        <w:tc>
          <w:tcPr>
            <w:tcW w:w="685" w:type="dxa"/>
            <w:vAlign w:val="center"/>
          </w:tcPr>
          <w:p>
            <w:pPr>
              <w:spacing w:line="300" w:lineRule="exact"/>
              <w:jc w:val="center"/>
              <w:rPr>
                <w:rFonts w:ascii="宋体" w:cs="宋体"/>
                <w:b/>
                <w:szCs w:val="21"/>
              </w:rPr>
            </w:pPr>
            <w:r>
              <w:rPr>
                <w:rFonts w:hint="eastAsia" w:ascii="宋体" w:hAnsi="宋体" w:cs="宋体"/>
                <w:b/>
                <w:szCs w:val="21"/>
              </w:rPr>
              <w:t>事业</w:t>
            </w:r>
          </w:p>
        </w:tc>
        <w:tc>
          <w:tcPr>
            <w:tcW w:w="514" w:type="dxa"/>
            <w:vAlign w:val="center"/>
          </w:tcPr>
          <w:p>
            <w:pPr>
              <w:spacing w:line="300" w:lineRule="exact"/>
              <w:jc w:val="center"/>
              <w:rPr>
                <w:rFonts w:ascii="宋体" w:cs="宋体"/>
                <w:b/>
                <w:szCs w:val="21"/>
              </w:rPr>
            </w:pPr>
            <w:r>
              <w:rPr>
                <w:rFonts w:hint="eastAsia" w:ascii="宋体" w:hAnsi="宋体" w:cs="宋体"/>
                <w:b/>
                <w:szCs w:val="21"/>
              </w:rPr>
              <w:t>行政</w:t>
            </w:r>
          </w:p>
        </w:tc>
        <w:tc>
          <w:tcPr>
            <w:tcW w:w="700" w:type="dxa"/>
            <w:vAlign w:val="center"/>
          </w:tcPr>
          <w:p>
            <w:pPr>
              <w:spacing w:line="300" w:lineRule="exact"/>
              <w:jc w:val="center"/>
              <w:rPr>
                <w:rFonts w:ascii="宋体" w:cs="宋体"/>
                <w:b/>
                <w:szCs w:val="21"/>
              </w:rPr>
            </w:pPr>
            <w:r>
              <w:rPr>
                <w:rFonts w:hint="eastAsia" w:ascii="宋体" w:hAnsi="宋体" w:cs="宋体"/>
                <w:b/>
                <w:szCs w:val="21"/>
              </w:rPr>
              <w:t>事业</w:t>
            </w:r>
          </w:p>
        </w:tc>
        <w:tc>
          <w:tcPr>
            <w:tcW w:w="356" w:type="dxa"/>
            <w:vAlign w:val="center"/>
          </w:tcPr>
          <w:p>
            <w:pPr>
              <w:spacing w:line="300" w:lineRule="exact"/>
              <w:jc w:val="center"/>
              <w:rPr>
                <w:rFonts w:ascii="宋体" w:cs="宋体"/>
                <w:b/>
                <w:szCs w:val="21"/>
              </w:rPr>
            </w:pPr>
            <w:r>
              <w:rPr>
                <w:rFonts w:hint="eastAsia" w:ascii="宋体" w:hAnsi="宋体" w:cs="宋体"/>
                <w:b/>
                <w:szCs w:val="21"/>
              </w:rPr>
              <w:t>离休</w:t>
            </w:r>
          </w:p>
        </w:tc>
        <w:tc>
          <w:tcPr>
            <w:tcW w:w="604" w:type="dxa"/>
            <w:vAlign w:val="center"/>
          </w:tcPr>
          <w:p>
            <w:pPr>
              <w:spacing w:line="300" w:lineRule="exact"/>
              <w:jc w:val="center"/>
              <w:rPr>
                <w:rFonts w:ascii="宋体" w:cs="宋体"/>
                <w:b/>
                <w:szCs w:val="21"/>
              </w:rPr>
            </w:pPr>
            <w:r>
              <w:rPr>
                <w:rFonts w:hint="eastAsia" w:ascii="宋体" w:hAnsi="宋体" w:cs="宋体"/>
                <w:b/>
                <w:szCs w:val="21"/>
              </w:rPr>
              <w:t>退休</w:t>
            </w:r>
          </w:p>
        </w:tc>
        <w:tc>
          <w:tcPr>
            <w:tcW w:w="457" w:type="dxa"/>
            <w:vAlign w:val="center"/>
          </w:tcPr>
          <w:p>
            <w:pPr>
              <w:spacing w:line="300" w:lineRule="exact"/>
              <w:jc w:val="center"/>
              <w:rPr>
                <w:rFonts w:ascii="宋体" w:cs="宋体"/>
                <w:b/>
                <w:szCs w:val="21"/>
              </w:rPr>
            </w:pPr>
            <w:r>
              <w:rPr>
                <w:rFonts w:hint="eastAsia" w:ascii="宋体" w:hAnsi="宋体" w:cs="宋体"/>
                <w:b/>
                <w:szCs w:val="21"/>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45" w:type="dxa"/>
            <w:vAlign w:val="center"/>
          </w:tcPr>
          <w:p>
            <w:pPr>
              <w:spacing w:line="300" w:lineRule="exact"/>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1429" w:type="dxa"/>
            <w:vAlign w:val="center"/>
          </w:tcPr>
          <w:p>
            <w:pPr>
              <w:spacing w:line="300" w:lineRule="exact"/>
              <w:jc w:val="center"/>
              <w:rPr>
                <w:rFonts w:ascii="宋体" w:cs="宋体"/>
                <w:b/>
                <w:szCs w:val="21"/>
              </w:rPr>
            </w:pPr>
          </w:p>
        </w:tc>
        <w:tc>
          <w:tcPr>
            <w:tcW w:w="1056" w:type="dxa"/>
            <w:vAlign w:val="center"/>
          </w:tcPr>
          <w:p>
            <w:pPr>
              <w:spacing w:line="300" w:lineRule="exact"/>
              <w:jc w:val="center"/>
              <w:rPr>
                <w:rFonts w:ascii="宋体" w:cs="宋体"/>
                <w:b/>
                <w:szCs w:val="21"/>
              </w:rPr>
            </w:pPr>
          </w:p>
        </w:tc>
        <w:tc>
          <w:tcPr>
            <w:tcW w:w="1812" w:type="dxa"/>
            <w:vAlign w:val="center"/>
          </w:tcPr>
          <w:p>
            <w:pPr>
              <w:spacing w:line="300" w:lineRule="exact"/>
              <w:jc w:val="center"/>
              <w:rPr>
                <w:rFonts w:ascii="宋体" w:cs="宋体"/>
                <w:b/>
                <w:szCs w:val="21"/>
              </w:rPr>
            </w:pPr>
          </w:p>
        </w:tc>
        <w:tc>
          <w:tcPr>
            <w:tcW w:w="959" w:type="dxa"/>
            <w:vAlign w:val="center"/>
          </w:tcPr>
          <w:p>
            <w:pPr>
              <w:spacing w:line="300" w:lineRule="exact"/>
              <w:jc w:val="center"/>
              <w:rPr>
                <w:rFonts w:ascii="宋体" w:cs="宋体"/>
                <w:b/>
                <w:szCs w:val="21"/>
              </w:rPr>
            </w:pPr>
            <w:r>
              <w:rPr>
                <w:rFonts w:hint="eastAsia" w:ascii="宋体" w:hAnsi="宋体" w:cs="宋体"/>
                <w:b/>
                <w:szCs w:val="21"/>
              </w:rPr>
              <w:t>27</w:t>
            </w:r>
          </w:p>
        </w:tc>
        <w:tc>
          <w:tcPr>
            <w:tcW w:w="562" w:type="dxa"/>
            <w:vAlign w:val="center"/>
          </w:tcPr>
          <w:p>
            <w:pPr>
              <w:spacing w:line="300" w:lineRule="exact"/>
              <w:jc w:val="center"/>
              <w:rPr>
                <w:rFonts w:ascii="宋体" w:cs="宋体"/>
                <w:b/>
                <w:szCs w:val="21"/>
              </w:rPr>
            </w:pPr>
            <w:r>
              <w:rPr>
                <w:rFonts w:hint="eastAsia" w:ascii="宋体" w:hAnsi="宋体" w:cs="宋体"/>
                <w:b/>
                <w:szCs w:val="21"/>
                <w:lang w:val="en-US" w:eastAsia="zh-CN"/>
              </w:rPr>
              <w:t>18</w:t>
            </w:r>
          </w:p>
        </w:tc>
        <w:tc>
          <w:tcPr>
            <w:tcW w:w="685" w:type="dxa"/>
            <w:vAlign w:val="center"/>
          </w:tcPr>
          <w:p>
            <w:pPr>
              <w:spacing w:line="300" w:lineRule="exact"/>
              <w:jc w:val="center"/>
              <w:rPr>
                <w:rFonts w:ascii="宋体" w:cs="宋体"/>
                <w:b/>
                <w:szCs w:val="21"/>
              </w:rPr>
            </w:pPr>
            <w:r>
              <w:rPr>
                <w:rFonts w:hint="eastAsia" w:ascii="宋体" w:hAnsi="宋体" w:cs="宋体"/>
                <w:b/>
                <w:szCs w:val="21"/>
                <w:lang w:val="en-US" w:eastAsia="zh-CN"/>
              </w:rPr>
              <w:t>288</w:t>
            </w:r>
          </w:p>
        </w:tc>
        <w:tc>
          <w:tcPr>
            <w:tcW w:w="514" w:type="dxa"/>
            <w:vAlign w:val="center"/>
          </w:tcPr>
          <w:p>
            <w:pPr>
              <w:spacing w:line="300" w:lineRule="exact"/>
              <w:jc w:val="center"/>
              <w:rPr>
                <w:rFonts w:ascii="宋体" w:cs="宋体"/>
                <w:b/>
                <w:szCs w:val="21"/>
              </w:rPr>
            </w:pPr>
            <w:r>
              <w:rPr>
                <w:rFonts w:hint="eastAsia" w:ascii="宋体" w:hAnsi="宋体" w:cs="宋体"/>
                <w:b/>
                <w:szCs w:val="21"/>
                <w:lang w:val="en-US" w:eastAsia="zh-CN"/>
              </w:rPr>
              <w:t>18</w:t>
            </w:r>
          </w:p>
        </w:tc>
        <w:tc>
          <w:tcPr>
            <w:tcW w:w="700" w:type="dxa"/>
            <w:vAlign w:val="center"/>
          </w:tcPr>
          <w:p>
            <w:pPr>
              <w:spacing w:line="300" w:lineRule="exact"/>
              <w:jc w:val="center"/>
              <w:rPr>
                <w:rFonts w:ascii="宋体" w:cs="宋体"/>
                <w:b/>
                <w:szCs w:val="21"/>
              </w:rPr>
            </w:pPr>
            <w:r>
              <w:rPr>
                <w:rFonts w:hint="eastAsia" w:ascii="宋体" w:hAnsi="宋体" w:cs="宋体"/>
                <w:b/>
                <w:szCs w:val="21"/>
                <w:lang w:val="en-US" w:eastAsia="zh-CN"/>
              </w:rPr>
              <w:t>288</w:t>
            </w:r>
          </w:p>
        </w:tc>
        <w:tc>
          <w:tcPr>
            <w:tcW w:w="356" w:type="dxa"/>
            <w:vAlign w:val="center"/>
          </w:tcPr>
          <w:p>
            <w:pPr>
              <w:spacing w:line="300" w:lineRule="exact"/>
              <w:jc w:val="center"/>
              <w:rPr>
                <w:rFonts w:ascii="宋体" w:cs="宋体"/>
                <w:b/>
                <w:szCs w:val="21"/>
              </w:rPr>
            </w:pPr>
          </w:p>
        </w:tc>
        <w:tc>
          <w:tcPr>
            <w:tcW w:w="604" w:type="dxa"/>
            <w:vAlign w:val="center"/>
          </w:tcPr>
          <w:p>
            <w:pPr>
              <w:spacing w:line="300" w:lineRule="exact"/>
              <w:jc w:val="center"/>
              <w:rPr>
                <w:rFonts w:ascii="宋体" w:cs="宋体"/>
                <w:b/>
                <w:szCs w:val="21"/>
              </w:rPr>
            </w:pPr>
            <w:r>
              <w:rPr>
                <w:rFonts w:hint="eastAsia" w:ascii="宋体" w:hAnsi="宋体" w:cs="宋体"/>
                <w:b/>
                <w:szCs w:val="21"/>
                <w:lang w:val="en-US" w:eastAsia="zh-CN"/>
              </w:rPr>
              <w:t>13</w:t>
            </w:r>
          </w:p>
        </w:tc>
        <w:tc>
          <w:tcPr>
            <w:tcW w:w="457" w:type="dxa"/>
            <w:vAlign w:val="center"/>
          </w:tcPr>
          <w:p>
            <w:pPr>
              <w:spacing w:line="300" w:lineRule="exact"/>
              <w:jc w:val="center"/>
              <w:rPr>
                <w:rFonts w:ascii="宋体" w:cs="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45" w:type="dxa"/>
            <w:vAlign w:val="center"/>
          </w:tcPr>
          <w:p>
            <w:pPr>
              <w:spacing w:line="300" w:lineRule="exact"/>
              <w:jc w:val="left"/>
              <w:rPr>
                <w:rFonts w:ascii="宋体" w:cs="宋体"/>
                <w:szCs w:val="21"/>
              </w:rPr>
            </w:pPr>
            <w:r>
              <w:rPr>
                <w:rFonts w:hint="eastAsia" w:ascii="宋体" w:hAnsi="宋体" w:cs="宋体"/>
                <w:szCs w:val="21"/>
              </w:rPr>
              <w:t>涞水县公安交通警察大队</w:t>
            </w:r>
          </w:p>
        </w:tc>
        <w:tc>
          <w:tcPr>
            <w:tcW w:w="1429" w:type="dxa"/>
            <w:vAlign w:val="center"/>
          </w:tcPr>
          <w:p>
            <w:pPr>
              <w:spacing w:line="300" w:lineRule="exact"/>
              <w:jc w:val="center"/>
              <w:rPr>
                <w:rFonts w:ascii="宋体" w:cs="宋体"/>
                <w:szCs w:val="21"/>
              </w:rPr>
            </w:pPr>
            <w:r>
              <w:rPr>
                <w:rFonts w:hint="eastAsia" w:ascii="宋体" w:hAnsi="宋体" w:cs="宋体"/>
                <w:szCs w:val="21"/>
              </w:rPr>
              <w:t>行政</w:t>
            </w:r>
          </w:p>
        </w:tc>
        <w:tc>
          <w:tcPr>
            <w:tcW w:w="1056" w:type="dxa"/>
            <w:vAlign w:val="center"/>
          </w:tcPr>
          <w:p>
            <w:pPr>
              <w:spacing w:line="300" w:lineRule="exact"/>
              <w:jc w:val="center"/>
              <w:rPr>
                <w:rFonts w:ascii="宋体" w:cs="宋体"/>
                <w:szCs w:val="21"/>
              </w:rPr>
            </w:pPr>
            <w:r>
              <w:rPr>
                <w:rFonts w:hint="eastAsia" w:ascii="宋体" w:hAnsi="宋体" w:cs="宋体"/>
                <w:szCs w:val="21"/>
              </w:rPr>
              <w:t>科级</w:t>
            </w:r>
          </w:p>
        </w:tc>
        <w:tc>
          <w:tcPr>
            <w:tcW w:w="1812" w:type="dxa"/>
            <w:vAlign w:val="center"/>
          </w:tcPr>
          <w:p>
            <w:pPr>
              <w:spacing w:line="300" w:lineRule="exact"/>
              <w:jc w:val="center"/>
              <w:rPr>
                <w:rFonts w:ascii="宋体" w:cs="宋体"/>
                <w:szCs w:val="21"/>
              </w:rPr>
            </w:pPr>
            <w:r>
              <w:rPr>
                <w:rFonts w:hint="eastAsia" w:ascii="宋体" w:hAnsi="宋体" w:cs="宋体"/>
                <w:szCs w:val="21"/>
              </w:rPr>
              <w:t>财政拨款</w:t>
            </w:r>
          </w:p>
        </w:tc>
        <w:tc>
          <w:tcPr>
            <w:tcW w:w="959" w:type="dxa"/>
            <w:vAlign w:val="center"/>
          </w:tcPr>
          <w:p>
            <w:pPr>
              <w:spacing w:line="300" w:lineRule="exact"/>
              <w:jc w:val="center"/>
              <w:rPr>
                <w:rFonts w:ascii="宋体" w:cs="宋体"/>
                <w:szCs w:val="21"/>
              </w:rPr>
            </w:pPr>
            <w:r>
              <w:rPr>
                <w:rFonts w:hint="eastAsia" w:ascii="宋体" w:hAnsi="宋体" w:cs="宋体"/>
                <w:szCs w:val="21"/>
              </w:rPr>
              <w:t>27</w:t>
            </w:r>
          </w:p>
        </w:tc>
        <w:tc>
          <w:tcPr>
            <w:tcW w:w="562" w:type="dxa"/>
            <w:vAlign w:val="center"/>
          </w:tcPr>
          <w:p>
            <w:pPr>
              <w:spacing w:line="300" w:lineRule="exact"/>
              <w:jc w:val="center"/>
              <w:rPr>
                <w:rFonts w:ascii="宋体" w:cs="宋体"/>
                <w:szCs w:val="21"/>
              </w:rPr>
            </w:pPr>
            <w:r>
              <w:rPr>
                <w:rFonts w:hint="eastAsia" w:ascii="宋体" w:hAnsi="宋体" w:cs="宋体"/>
                <w:szCs w:val="21"/>
                <w:lang w:val="en-US" w:eastAsia="zh-CN"/>
              </w:rPr>
              <w:t>18</w:t>
            </w:r>
          </w:p>
        </w:tc>
        <w:tc>
          <w:tcPr>
            <w:tcW w:w="685" w:type="dxa"/>
            <w:vAlign w:val="center"/>
          </w:tcPr>
          <w:p>
            <w:pPr>
              <w:spacing w:line="300" w:lineRule="exact"/>
              <w:jc w:val="center"/>
              <w:rPr>
                <w:rFonts w:ascii="宋体" w:cs="宋体"/>
                <w:szCs w:val="21"/>
              </w:rPr>
            </w:pPr>
            <w:r>
              <w:rPr>
                <w:rFonts w:hint="eastAsia" w:ascii="宋体" w:hAnsi="宋体" w:cs="宋体"/>
                <w:szCs w:val="21"/>
                <w:lang w:val="en-US" w:eastAsia="zh-CN"/>
              </w:rPr>
              <w:t>288</w:t>
            </w:r>
          </w:p>
        </w:tc>
        <w:tc>
          <w:tcPr>
            <w:tcW w:w="514" w:type="dxa"/>
            <w:vAlign w:val="center"/>
          </w:tcPr>
          <w:p>
            <w:pPr>
              <w:spacing w:line="300" w:lineRule="exact"/>
              <w:jc w:val="center"/>
              <w:rPr>
                <w:rFonts w:ascii="宋体" w:cs="宋体"/>
                <w:szCs w:val="21"/>
              </w:rPr>
            </w:pPr>
            <w:r>
              <w:rPr>
                <w:rFonts w:hint="eastAsia" w:ascii="宋体" w:hAnsi="宋体" w:cs="宋体"/>
                <w:szCs w:val="21"/>
                <w:lang w:val="en-US" w:eastAsia="zh-CN"/>
              </w:rPr>
              <w:t>18</w:t>
            </w:r>
          </w:p>
        </w:tc>
        <w:tc>
          <w:tcPr>
            <w:tcW w:w="700" w:type="dxa"/>
            <w:vAlign w:val="center"/>
          </w:tcPr>
          <w:p>
            <w:pPr>
              <w:spacing w:line="300" w:lineRule="exact"/>
              <w:jc w:val="center"/>
              <w:rPr>
                <w:rFonts w:ascii="宋体" w:cs="宋体"/>
                <w:szCs w:val="21"/>
              </w:rPr>
            </w:pPr>
            <w:r>
              <w:rPr>
                <w:rFonts w:hint="eastAsia" w:ascii="宋体" w:hAnsi="宋体" w:cs="宋体"/>
                <w:szCs w:val="21"/>
                <w:lang w:val="en-US" w:eastAsia="zh-CN"/>
              </w:rPr>
              <w:t>288</w:t>
            </w:r>
          </w:p>
        </w:tc>
        <w:tc>
          <w:tcPr>
            <w:tcW w:w="356" w:type="dxa"/>
            <w:vAlign w:val="center"/>
          </w:tcPr>
          <w:p>
            <w:pPr>
              <w:spacing w:line="300" w:lineRule="exact"/>
              <w:jc w:val="center"/>
              <w:rPr>
                <w:rFonts w:ascii="宋体" w:cs="宋体"/>
                <w:szCs w:val="21"/>
              </w:rPr>
            </w:pPr>
          </w:p>
        </w:tc>
        <w:tc>
          <w:tcPr>
            <w:tcW w:w="604" w:type="dxa"/>
            <w:vAlign w:val="center"/>
          </w:tcPr>
          <w:p>
            <w:pPr>
              <w:spacing w:line="300" w:lineRule="exact"/>
              <w:jc w:val="center"/>
              <w:rPr>
                <w:rFonts w:ascii="宋体" w:cs="宋体"/>
                <w:szCs w:val="21"/>
              </w:rPr>
            </w:pPr>
            <w:r>
              <w:rPr>
                <w:rFonts w:hint="eastAsia" w:ascii="宋体" w:hAnsi="宋体" w:cs="宋体"/>
                <w:szCs w:val="21"/>
                <w:lang w:val="en-US" w:eastAsia="zh-CN"/>
              </w:rPr>
              <w:t>13</w:t>
            </w:r>
          </w:p>
        </w:tc>
        <w:tc>
          <w:tcPr>
            <w:tcW w:w="457" w:type="dxa"/>
            <w:vAlign w:val="center"/>
          </w:tcPr>
          <w:p>
            <w:pPr>
              <w:spacing w:line="300" w:lineRule="exact"/>
              <w:jc w:val="center"/>
              <w:rPr>
                <w:rFonts w:ascii="宋体" w:cs="宋体"/>
                <w:szCs w:val="21"/>
              </w:rPr>
            </w:pPr>
          </w:p>
        </w:tc>
      </w:tr>
    </w:tbl>
    <w:p>
      <w:pPr>
        <w:spacing w:line="560" w:lineRule="exact"/>
        <w:rPr>
          <w:rFonts w:ascii="宋体"/>
          <w:sz w:val="30"/>
          <w:szCs w:val="30"/>
        </w:rPr>
      </w:pPr>
    </w:p>
    <w:p>
      <w:pPr>
        <w:numPr>
          <w:ilvl w:val="0"/>
          <w:numId w:val="0"/>
        </w:numPr>
        <w:spacing w:line="5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部门预算安排总体情况</w:t>
      </w:r>
    </w:p>
    <w:p>
      <w:pPr>
        <w:spacing w:line="560" w:lineRule="exact"/>
        <w:rPr>
          <w:rFonts w:cs="仿宋" w:asciiTheme="minorEastAsia" w:hAnsiTheme="minorEastAsia" w:eastAsiaTheme="minorEastAsia"/>
          <w:sz w:val="32"/>
          <w:szCs w:val="32"/>
        </w:rPr>
      </w:pPr>
      <w:r>
        <w:rPr>
          <w:rFonts w:ascii="黑体" w:hAnsi="黑体" w:eastAsia="黑体" w:cs="黑体"/>
          <w:bCs/>
          <w:kern w:val="0"/>
          <w:sz w:val="32"/>
          <w:szCs w:val="32"/>
        </w:rPr>
        <w:t xml:space="preserve">    </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、收入说明</w:t>
      </w:r>
    </w:p>
    <w:p>
      <w:pPr>
        <w:spacing w:line="56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年我部门预算总收入</w:t>
      </w:r>
      <w:r>
        <w:rPr>
          <w:rFonts w:hint="eastAsia" w:ascii="仿宋" w:hAnsi="仿宋" w:eastAsia="仿宋" w:cs="仿宋"/>
          <w:sz w:val="32"/>
          <w:szCs w:val="32"/>
          <w:lang w:val="en-US" w:eastAsia="zh-CN"/>
        </w:rPr>
        <w:t>2659.97</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其中财政拨款</w:t>
      </w:r>
      <w:r>
        <w:rPr>
          <w:rFonts w:hint="eastAsia" w:ascii="仿宋" w:hAnsi="仿宋" w:eastAsia="仿宋" w:cs="仿宋"/>
          <w:sz w:val="32"/>
          <w:szCs w:val="32"/>
          <w:lang w:val="en-US" w:eastAsia="zh-CN"/>
        </w:rPr>
        <w:t>1427.97</w:t>
      </w:r>
      <w:r>
        <w:rPr>
          <w:rFonts w:hint="eastAsia" w:cs="仿宋" w:asciiTheme="minorEastAsia" w:hAnsiTheme="minorEastAsia" w:eastAsiaTheme="minorEastAsia"/>
          <w:sz w:val="32"/>
          <w:szCs w:val="32"/>
        </w:rPr>
        <w:t>万元，行政事业性收费</w:t>
      </w:r>
      <w:r>
        <w:rPr>
          <w:rFonts w:hint="eastAsia" w:ascii="仿宋" w:hAnsi="仿宋" w:eastAsia="仿宋" w:cs="仿宋"/>
          <w:sz w:val="32"/>
          <w:szCs w:val="32"/>
          <w:lang w:val="en-US" w:eastAsia="zh-CN"/>
        </w:rPr>
        <w:t>1170</w:t>
      </w:r>
      <w:r>
        <w:rPr>
          <w:rFonts w:hint="eastAsia" w:cs="仿宋" w:asciiTheme="minorEastAsia" w:hAnsiTheme="minorEastAsia" w:eastAsiaTheme="minorEastAsia"/>
          <w:sz w:val="32"/>
          <w:szCs w:val="32"/>
        </w:rPr>
        <w:t>万元，中央财政提前通知转移支付</w:t>
      </w:r>
      <w:r>
        <w:rPr>
          <w:rFonts w:hint="eastAsia" w:ascii="仿宋" w:hAnsi="仿宋" w:eastAsia="仿宋" w:cs="仿宋"/>
          <w:sz w:val="32"/>
          <w:szCs w:val="32"/>
          <w:lang w:val="en-US" w:eastAsia="zh-CN"/>
        </w:rPr>
        <w:t>62</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支出说明</w:t>
      </w:r>
    </w:p>
    <w:p>
      <w:pPr>
        <w:spacing w:line="560" w:lineRule="exac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年我部门安排预算支出</w:t>
      </w:r>
      <w:r>
        <w:rPr>
          <w:rFonts w:hint="eastAsia" w:ascii="仿宋" w:hAnsi="仿宋" w:eastAsia="仿宋" w:cs="仿宋"/>
          <w:sz w:val="32"/>
          <w:szCs w:val="32"/>
          <w:lang w:val="en-US" w:eastAsia="zh-CN"/>
        </w:rPr>
        <w:t>2659.97</w:t>
      </w:r>
      <w:r>
        <w:rPr>
          <w:rFonts w:hint="eastAsia" w:cs="仿宋" w:asciiTheme="minorEastAsia" w:hAnsiTheme="minorEastAsia" w:eastAsiaTheme="minorEastAsia"/>
          <w:sz w:val="32"/>
          <w:szCs w:val="32"/>
        </w:rPr>
        <w:t>万元，其中，人员经费支出</w:t>
      </w:r>
      <w:r>
        <w:rPr>
          <w:rFonts w:hint="eastAsia" w:ascii="仿宋" w:hAnsi="仿宋" w:eastAsia="仿宋" w:cs="仿宋"/>
          <w:sz w:val="32"/>
          <w:szCs w:val="32"/>
          <w:lang w:val="en-US" w:eastAsia="zh-CN"/>
        </w:rPr>
        <w:t>1634.8</w:t>
      </w:r>
      <w:r>
        <w:rPr>
          <w:rFonts w:hint="eastAsia" w:cs="仿宋" w:asciiTheme="minorEastAsia" w:hAnsiTheme="minorEastAsia" w:eastAsiaTheme="minorEastAsia"/>
          <w:sz w:val="32"/>
          <w:szCs w:val="32"/>
        </w:rPr>
        <w:t>万元，日常公用经费支出</w:t>
      </w:r>
      <w:r>
        <w:rPr>
          <w:rFonts w:hint="eastAsia" w:ascii="仿宋" w:hAnsi="仿宋" w:eastAsia="仿宋" w:cs="仿宋"/>
          <w:sz w:val="32"/>
          <w:szCs w:val="32"/>
          <w:lang w:val="en-US" w:eastAsia="zh-CN"/>
        </w:rPr>
        <w:t>686.44</w:t>
      </w:r>
      <w:r>
        <w:rPr>
          <w:rFonts w:hint="eastAsia" w:cs="仿宋" w:asciiTheme="minorEastAsia" w:hAnsiTheme="minorEastAsia" w:eastAsiaTheme="minorEastAsia"/>
          <w:sz w:val="32"/>
          <w:szCs w:val="32"/>
        </w:rPr>
        <w:t>万元，专项支出</w:t>
      </w:r>
      <w:r>
        <w:rPr>
          <w:rFonts w:hint="eastAsia" w:ascii="仿宋" w:hAnsi="仿宋" w:eastAsia="仿宋" w:cs="仿宋"/>
          <w:sz w:val="32"/>
          <w:szCs w:val="32"/>
          <w:lang w:val="en-US" w:eastAsia="zh-CN"/>
        </w:rPr>
        <w:t>338.73</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比上年增减情况</w:t>
      </w:r>
    </w:p>
    <w:p>
      <w:pPr>
        <w:widowControl/>
        <w:spacing w:line="560" w:lineRule="exact"/>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本年度预算收支安排2659.97万元，较上年年增加282.98万元。其中人员经费增加282.98万元，主要用于工资普调及补缴养老保险。</w:t>
      </w:r>
    </w:p>
    <w:p>
      <w:pPr>
        <w:widowControl/>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eastAsia="zh-CN"/>
        </w:rPr>
        <w:t>我部门安排财政</w:t>
      </w:r>
      <w:bookmarkStart w:id="13" w:name="_GoBack"/>
      <w:bookmarkEnd w:id="13"/>
      <w:r>
        <w:rPr>
          <w:rFonts w:hint="eastAsia" w:asciiTheme="minorEastAsia" w:hAnsiTheme="minorEastAsia" w:eastAsiaTheme="minorEastAsia" w:cstheme="minorEastAsia"/>
          <w:bCs/>
          <w:kern w:val="0"/>
          <w:sz w:val="32"/>
          <w:szCs w:val="32"/>
          <w:lang w:eastAsia="zh-CN"/>
        </w:rPr>
        <w:t>拨款支出主要用于保障该部门机构正常运转、完成日常工作任务以及大队发展的相关工作。正常公用经费</w:t>
      </w:r>
      <w:r>
        <w:rPr>
          <w:rFonts w:hint="eastAsia" w:asciiTheme="minorEastAsia" w:hAnsiTheme="minorEastAsia" w:eastAsiaTheme="minorEastAsia" w:cstheme="minorEastAsia"/>
          <w:bCs/>
          <w:kern w:val="0"/>
          <w:sz w:val="32"/>
          <w:szCs w:val="32"/>
          <w:lang w:val="en-US" w:eastAsia="zh-CN"/>
        </w:rPr>
        <w:t>686.44万元，其中</w:t>
      </w:r>
      <w:r>
        <w:rPr>
          <w:rFonts w:hint="eastAsia" w:asciiTheme="minorEastAsia" w:hAnsiTheme="minorEastAsia" w:eastAsiaTheme="minorEastAsia" w:cstheme="minorEastAsia"/>
          <w:sz w:val="32"/>
          <w:szCs w:val="32"/>
        </w:rPr>
        <w:t>办公费</w:t>
      </w:r>
      <w:r>
        <w:rPr>
          <w:rFonts w:hint="eastAsia" w:asciiTheme="minorEastAsia" w:hAnsiTheme="minorEastAsia" w:eastAsiaTheme="minorEastAsia" w:cstheme="minorEastAsia"/>
          <w:sz w:val="32"/>
          <w:szCs w:val="32"/>
          <w:lang w:val="en-US" w:eastAsia="zh-CN"/>
        </w:rPr>
        <w:t>33</w:t>
      </w:r>
      <w:r>
        <w:rPr>
          <w:rFonts w:hint="eastAsia" w:asciiTheme="minorEastAsia" w:hAnsiTheme="minorEastAsia" w:eastAsiaTheme="minorEastAsia" w:cstheme="minorEastAsia"/>
          <w:sz w:val="32"/>
          <w:szCs w:val="32"/>
        </w:rPr>
        <w:t>万元，邮电费0.36万元，取暖费8.04万元，公务车运行维</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旅</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万元，公务交通补贴</w:t>
      </w:r>
      <w:r>
        <w:rPr>
          <w:rFonts w:hint="eastAsia" w:asciiTheme="minorEastAsia" w:hAnsiTheme="minorEastAsia" w:eastAsiaTheme="minorEastAsia" w:cstheme="minorEastAsia"/>
          <w:sz w:val="32"/>
          <w:szCs w:val="32"/>
          <w:lang w:val="en-US" w:eastAsia="zh-CN"/>
        </w:rPr>
        <w:t>9.72</w:t>
      </w:r>
      <w:r>
        <w:rPr>
          <w:rFonts w:hint="eastAsia" w:asciiTheme="minorEastAsia" w:hAnsiTheme="minorEastAsia" w:eastAsiaTheme="minorEastAsia" w:cstheme="minorEastAsia"/>
          <w:sz w:val="32"/>
          <w:szCs w:val="32"/>
        </w:rPr>
        <w:t>，劳务费</w:t>
      </w:r>
      <w:r>
        <w:rPr>
          <w:rFonts w:hint="eastAsia" w:asciiTheme="minorEastAsia" w:hAnsiTheme="minorEastAsia" w:eastAsiaTheme="minorEastAsia" w:cstheme="minorEastAsia"/>
          <w:sz w:val="32"/>
          <w:szCs w:val="32"/>
          <w:lang w:val="en-US" w:eastAsia="zh-CN"/>
        </w:rPr>
        <w:t>538.1</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，离退休人员公用经费</w:t>
      </w:r>
      <w:r>
        <w:rPr>
          <w:rFonts w:hint="eastAsia" w:asciiTheme="minorEastAsia" w:hAnsiTheme="minorEastAsia" w:eastAsiaTheme="minorEastAsia" w:cstheme="minorEastAsia"/>
          <w:sz w:val="32"/>
          <w:szCs w:val="32"/>
          <w:lang w:val="en-US" w:eastAsia="zh-CN"/>
        </w:rPr>
        <w:t>0.28万元。</w:t>
      </w:r>
    </w:p>
    <w:p>
      <w:pPr>
        <w:widowControl/>
        <w:spacing w:line="560" w:lineRule="exact"/>
        <w:ind w:firstLine="640" w:firstLineChars="200"/>
        <w:rPr>
          <w:rFonts w:cs="仿宋" w:asciiTheme="minorEastAsia" w:hAnsiTheme="minorEastAsia" w:eastAsiaTheme="minorEastAsia"/>
          <w:sz w:val="32"/>
          <w:szCs w:val="32"/>
        </w:rPr>
      </w:pPr>
    </w:p>
    <w:p>
      <w:pPr>
        <w:widowControl/>
        <w:spacing w:line="560" w:lineRule="exact"/>
        <w:ind w:firstLine="630"/>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四、财政拨款“三公”经费预算情况及增减变化原因</w:t>
      </w:r>
    </w:p>
    <w:p>
      <w:pPr>
        <w:spacing w:line="560" w:lineRule="exact"/>
        <w:ind w:firstLine="640" w:firstLineChars="200"/>
        <w:jc w:val="left"/>
        <w:rPr>
          <w:rFonts w:ascii="仿宋" w:hAnsi="仿宋" w:eastAsia="仿宋" w:cs="仿宋"/>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年我部门安排“三公经费”预算</w:t>
      </w:r>
      <w:r>
        <w:rPr>
          <w:rFonts w:hint="eastAsia" w:cs="仿宋" w:asciiTheme="minorEastAsia" w:hAnsiTheme="minorEastAsia" w:eastAsiaTheme="minorEastAsia"/>
          <w:sz w:val="32"/>
          <w:szCs w:val="32"/>
          <w:lang w:val="en-US" w:eastAsia="zh-CN"/>
        </w:rPr>
        <w:t>183</w:t>
      </w:r>
      <w:r>
        <w:rPr>
          <w:rFonts w:hint="eastAsia" w:cs="仿宋" w:asciiTheme="minorEastAsia" w:hAnsiTheme="minorEastAsia" w:eastAsiaTheme="minorEastAsia"/>
          <w:sz w:val="32"/>
          <w:szCs w:val="32"/>
        </w:rPr>
        <w:t>万元，严格落实“三公经费”管理办法以及中央八项规定。其中公务车运行维护费</w:t>
      </w:r>
      <w:r>
        <w:rPr>
          <w:rFonts w:hint="eastAsia" w:cs="仿宋" w:asciiTheme="minorEastAsia" w:hAnsiTheme="minorEastAsia" w:eastAsiaTheme="minorEastAsia"/>
          <w:sz w:val="32"/>
          <w:szCs w:val="32"/>
          <w:lang w:val="en-US" w:eastAsia="zh-CN"/>
        </w:rPr>
        <w:t>183</w:t>
      </w:r>
      <w:r>
        <w:rPr>
          <w:rFonts w:hint="eastAsia" w:cs="仿宋" w:asciiTheme="minorEastAsia" w:hAnsiTheme="minorEastAsia" w:eastAsiaTheme="minorEastAsia"/>
          <w:sz w:val="32"/>
          <w:szCs w:val="32"/>
        </w:rPr>
        <w:t>万元，与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年相比减少1</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万元，因公出国经费无，公务用车购置经费无。</w:t>
      </w:r>
    </w:p>
    <w:tbl>
      <w:tblPr>
        <w:tblStyle w:val="9"/>
        <w:tblW w:w="13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2497"/>
        <w:gridCol w:w="2250"/>
        <w:gridCol w:w="1845"/>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项目名称</w:t>
            </w:r>
            <w:r>
              <w:rPr>
                <w:rFonts w:cs="仿宋" w:asciiTheme="minorEastAsia" w:hAnsiTheme="minorEastAsia" w:eastAsiaTheme="minorEastAsia"/>
                <w:sz w:val="32"/>
                <w:szCs w:val="32"/>
              </w:rPr>
              <w:t xml:space="preserve">    </w:t>
            </w:r>
          </w:p>
        </w:tc>
        <w:tc>
          <w:tcPr>
            <w:tcW w:w="2497"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年度预算</w:t>
            </w:r>
          </w:p>
        </w:tc>
        <w:tc>
          <w:tcPr>
            <w:tcW w:w="22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年度预算</w:t>
            </w:r>
          </w:p>
        </w:tc>
        <w:tc>
          <w:tcPr>
            <w:tcW w:w="184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增减金额</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因公出国经费</w:t>
            </w:r>
          </w:p>
        </w:tc>
        <w:tc>
          <w:tcPr>
            <w:tcW w:w="2497"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22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84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公务用车购置经费</w:t>
            </w:r>
          </w:p>
        </w:tc>
        <w:tc>
          <w:tcPr>
            <w:tcW w:w="2497"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22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84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公务用车运行经费</w:t>
            </w:r>
          </w:p>
        </w:tc>
        <w:tc>
          <w:tcPr>
            <w:tcW w:w="2497"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194</w:t>
            </w:r>
          </w:p>
        </w:tc>
        <w:tc>
          <w:tcPr>
            <w:tcW w:w="2250"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183</w:t>
            </w:r>
          </w:p>
        </w:tc>
        <w:tc>
          <w:tcPr>
            <w:tcW w:w="184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lang w:val="en-US" w:eastAsia="zh-CN"/>
              </w:rPr>
              <w:t>11</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公务用车改革核减公务用车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公务接待费支出</w:t>
            </w:r>
          </w:p>
        </w:tc>
        <w:tc>
          <w:tcPr>
            <w:tcW w:w="2497"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22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84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合计</w:t>
            </w:r>
          </w:p>
        </w:tc>
        <w:tc>
          <w:tcPr>
            <w:tcW w:w="2497"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194</w:t>
            </w:r>
          </w:p>
        </w:tc>
        <w:tc>
          <w:tcPr>
            <w:tcW w:w="225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183</w:t>
            </w:r>
          </w:p>
        </w:tc>
        <w:tc>
          <w:tcPr>
            <w:tcW w:w="184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lang w:val="en-US" w:eastAsia="zh-CN"/>
              </w:rPr>
              <w:t>11</w:t>
            </w:r>
          </w:p>
        </w:tc>
        <w:tc>
          <w:tcPr>
            <w:tcW w:w="423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年我大队针对“三公”经费支出制定了严格的管理制度，认真执行中央八项规定，厉行节约，杜绝浪费，从总量来讲，我大队的“三公”经费与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年相比减少了</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万元。</w:t>
            </w:r>
          </w:p>
        </w:tc>
      </w:tr>
    </w:tbl>
    <w:p>
      <w:pPr>
        <w:spacing w:line="560" w:lineRule="exact"/>
        <w:ind w:firstLine="640" w:firstLineChars="200"/>
        <w:rPr>
          <w:rFonts w:cs="仿宋" w:asciiTheme="minorEastAsia" w:hAnsiTheme="minorEastAsia" w:eastAsiaTheme="minorEastAsia"/>
          <w:sz w:val="32"/>
          <w:szCs w:val="32"/>
        </w:rPr>
      </w:pPr>
    </w:p>
    <w:p>
      <w:pPr>
        <w:spacing w:line="560" w:lineRule="exact"/>
        <w:ind w:firstLine="640" w:firstLineChars="200"/>
        <w:outlineLvl w:val="0"/>
        <w:rPr>
          <w:rFonts w:ascii="黑体" w:hAnsi="黑体" w:eastAsia="黑体" w:cs="黑体"/>
          <w:sz w:val="32"/>
          <w:szCs w:val="32"/>
        </w:rPr>
      </w:pPr>
      <w:bookmarkStart w:id="7" w:name="_Toc446712056"/>
      <w:r>
        <w:rPr>
          <w:rFonts w:hint="eastAsia" w:ascii="黑体" w:hAnsi="黑体" w:eastAsia="黑体" w:cs="黑体"/>
          <w:sz w:val="32"/>
          <w:szCs w:val="32"/>
        </w:rPr>
        <w:t>五、绩效预算信息情况</w:t>
      </w:r>
    </w:p>
    <w:p>
      <w:pPr>
        <w:spacing w:line="560" w:lineRule="exact"/>
        <w:ind w:firstLine="640" w:firstLineChars="200"/>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部门整体绩效目标</w:t>
      </w:r>
    </w:p>
    <w:p>
      <w:pPr>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（一）总体绩效目标</w:t>
      </w:r>
      <w:r>
        <w:rPr>
          <w:rFonts w:ascii="楷体" w:hAnsi="楷体" w:eastAsia="楷体" w:cs="楷体"/>
          <w:sz w:val="32"/>
          <w:szCs w:val="32"/>
        </w:rPr>
        <w:fldChar w:fldCharType="begin"/>
      </w:r>
      <w:r>
        <w:rPr>
          <w:rFonts w:ascii="楷体" w:hAnsi="楷体" w:eastAsia="楷体" w:cs="楷体"/>
          <w:sz w:val="32"/>
          <w:szCs w:val="32"/>
        </w:rPr>
        <w:instrText xml:space="preserve">tc "</w:instrText>
      </w:r>
      <w:bookmarkStart w:id="8" w:name="_Toc30057650"/>
      <w:r>
        <w:rPr>
          <w:rFonts w:hint="eastAsia" w:ascii="楷体" w:hAnsi="楷体" w:eastAsia="楷体" w:cs="楷体"/>
          <w:sz w:val="32"/>
          <w:szCs w:val="32"/>
        </w:rPr>
        <w:instrText xml:space="preserve">总体绩效目标</w:instrText>
      </w:r>
      <w:bookmarkEnd w:id="8"/>
      <w:r>
        <w:rPr>
          <w:rFonts w:ascii="楷体" w:hAnsi="楷体" w:eastAsia="楷体" w:cs="楷体"/>
          <w:sz w:val="32"/>
          <w:szCs w:val="32"/>
        </w:rPr>
        <w:instrText xml:space="preserve">" \f A \l 01</w:instrText>
      </w:r>
      <w:r>
        <w:rPr>
          <w:rFonts w:ascii="楷体" w:hAnsi="楷体" w:eastAsia="楷体" w:cs="楷体"/>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随着社会发展，道路交通工具每年大幅增加，给我县道路交通安全到来很大压力，要大力加强道路交通安全管理和执法力度，改善道路基础设施等交通整体状况，提高道路通行能力和交通安全水平，维持道路秩序，减少事故发生。负责道路交通安全管理工作，实施有关道路交通安全管理的法律、法规、规章、政策，维护道路交通安全秩序，指导交通事故防范，处理等相关业务的开展，协调参与处理重特大交通事故，组织开展道路交通安全宣传教育工作，依法指导、监督车辆管理工作。合理安排人员，增强警力，加强道路交通安全管理工作，维护道路交通安全秩序，提高广大群众道路交通安全意识，降低交通事故发生，维持社会安定稳定。</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（二）分项绩效目标</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9" w:name="_Toc30057651"/>
      <w:r>
        <w:rPr>
          <w:rFonts w:hint="eastAsia" w:cs="仿宋" w:asciiTheme="minorEastAsia" w:hAnsiTheme="minorEastAsia" w:eastAsiaTheme="minorEastAsia"/>
          <w:sz w:val="32"/>
          <w:szCs w:val="32"/>
        </w:rPr>
        <w:instrText xml:space="preserve">分项绩效目标</w:instrText>
      </w:r>
      <w:bookmarkEnd w:id="9"/>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、全县道路交通秩序管理工作稳步推进</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推动全县交通治理科学化、精细化、规范化，标志标线、信号灯设置进一步规范，交通组织进一步优化，治乱疏堵能力进一步提升，城市道路通行秩序和效率不断改善，公路巡逻民警中队和执法站建设规划合理，交通秩序整治工作持续开展，民警现场执法率稳步提高，各类严重交通违法行为同比下降，各类重大交通安保工作任务圆满高效，全县道路交通安全形势持续稳定。</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在全县打造交通管理示范路口和交通秩序严管街道，提升主干路机动车守法率和主要路口行人和非机动车守法率，全年酒驾醉驾、“三超一疲劳”、涉牌涉证等严重交通违法行为查处量不少于近两年平均值的</w:t>
      </w:r>
      <w:r>
        <w:rPr>
          <w:rFonts w:cs="仿宋" w:asciiTheme="minorEastAsia" w:hAnsiTheme="minorEastAsia" w:eastAsiaTheme="minorEastAsia"/>
          <w:sz w:val="32"/>
          <w:szCs w:val="32"/>
        </w:rPr>
        <w:t>70%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、事故处理及预防能力整体提升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绩效目标：简易交通事故处理效率进一步提高，交通事故处理执法进一步规范，当事人涉警投诉进一步减少，交通事故分析预防能力不断提升，道路交通安全隐患治理排查和治理工作机制进一步完善。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绩效指标：采用互联网</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技术快速处理交通事故，处理量占适用简易程序事故的</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以上，涉警执法不规范的事故信访案件控制在</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起，对事故情况提出事故特点分析、预防对策每季度不少于</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次，公安负责的道路交通安全隐患整改率不低于所有隐患的</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、机动车及驾驶人管理规范有序</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绩效目标：全县车辆核发、补换领号牌业务更加规范，便民利民力度不断增强，业务办理延伸网点大幅增加，异地检车业务全面推广，驾驶人异地考试工作日趋完善，“放管服”工作得到深入贯彻落实。</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绩效指标：新增车辆注册率和挂牌率达到</w:t>
      </w:r>
      <w:r>
        <w:rPr>
          <w:rFonts w:cs="仿宋" w:asciiTheme="minorEastAsia" w:hAnsiTheme="minorEastAsia" w:eastAsiaTheme="minorEastAsia"/>
          <w:sz w:val="32"/>
          <w:szCs w:val="32"/>
        </w:rPr>
        <w:t>100%</w:t>
      </w:r>
      <w:r>
        <w:rPr>
          <w:rFonts w:hint="eastAsia" w:cs="仿宋" w:asciiTheme="minorEastAsia" w:hAnsiTheme="minorEastAsia" w:eastAsiaTheme="minorEastAsia"/>
          <w:sz w:val="32"/>
          <w:szCs w:val="32"/>
        </w:rPr>
        <w:t>，机动车和驾驶人互联网平台注册率达到</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以上，互联网平台办理业务与去年车驾管业务占比达到</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，延伸业务网点覆盖率达到全部网点的</w:t>
      </w:r>
      <w:r>
        <w:rPr>
          <w:rFonts w:cs="仿宋" w:asciiTheme="minorEastAsia" w:hAnsiTheme="minorEastAsia" w:eastAsiaTheme="minorEastAsia"/>
          <w:sz w:val="32"/>
          <w:szCs w:val="32"/>
        </w:rPr>
        <w:t>30%</w:t>
      </w:r>
      <w:r>
        <w:rPr>
          <w:rFonts w:hint="eastAsia" w:cs="仿宋" w:asciiTheme="minorEastAsia" w:hAnsiTheme="minorEastAsia" w:eastAsiaTheme="minorEastAsia"/>
          <w:sz w:val="32"/>
          <w:szCs w:val="32"/>
        </w:rPr>
        <w:t>以上，延伸网点车驾管业务办结率达到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、交通指挥调度能力整体提升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绩效目标：指挥调度精细化、规范化、智能化水平明显提升，交通组织优化、全息预警、分析研判和一体化指挥调度更加精准，全县道路拥堵有效缓解，道路通行效率、群众出行安全逐步改善。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绩效指标：交通事故、交管管制、应急事项等一张图作战，指挥效能进一步提升，民警警务通单兵终端接入率达到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以上；缉查布控机制加入人脸识别功能，失驾人员嫌疑车辆查处量提升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、交通安全宣传教育水平全面提升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绩效指标：全年发布交通安全新闻通稿不少于</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篇，自媒体宣传不少于</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篇，农村村镇宣传教育覆盖率超过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，中小学生宣传教育覆盖率超过</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，交管窗口宣传覆盖率</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（三）工作保障措施</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0" w:name="_Toc30057652"/>
      <w:r>
        <w:rPr>
          <w:rFonts w:hint="eastAsia" w:cs="仿宋" w:asciiTheme="minorEastAsia" w:hAnsiTheme="minorEastAsia" w:eastAsiaTheme="minorEastAsia"/>
          <w:sz w:val="32"/>
          <w:szCs w:val="32"/>
        </w:rPr>
        <w:instrText xml:space="preserve">工作保障措施</w:instrText>
      </w:r>
      <w:bookmarkEnd w:id="10"/>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、完善制度建</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完善绩效管理制度，资金管理办法，工作保障制度，为全年绩效目标的实现奠定制度基础。</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、加强支出管理</w:t>
      </w:r>
    </w:p>
    <w:p>
      <w:pPr>
        <w:spacing w:line="5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优化支出结构，编细编实预算、加快旅行政府采购手续，尽快启动项目、及时支付资金，</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月底细化代编预算，按规定及时确保支出进度。</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、加强绩效运行监控</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按要求开展绩效运行监控，发现问题及时采取措施，确保绩效目标如期保质实现。</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、做好绩效自评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、规范财务资产管理</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完善财务管理制度，严格审批程序，加强固定资产登记、使用和报废处置管理，做到支出合理，物尽其用。</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、加强内部监督</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内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、加强宣传培训调研工作</w:t>
      </w:r>
    </w:p>
    <w:p>
      <w:pPr>
        <w:spacing w:line="500" w:lineRule="exact"/>
        <w:ind w:firstLine="640" w:firstLineChars="200"/>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加强人员培训，提高本部门工作人员业务素质；加强调研，提出优化财政资金配置、提高资金使用效益的意见建议，加大宣传力度，强化预算绩效管理意识、促进预算绩效管理水平进一步提升。</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第二部分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预算项目绩效目标</w:t>
      </w:r>
    </w:p>
    <w:bookmarkEnd w:id="7"/>
    <w:p>
      <w:pPr>
        <w:jc w:val="both"/>
        <w:outlineLvl w:val="3"/>
        <w:rPr>
          <w:rFonts w:ascii="方正仿宋_GBK" w:eastAsia="方正仿宋_GBK"/>
          <w:b/>
          <w:sz w:val="28"/>
        </w:rPr>
      </w:pPr>
      <w:bookmarkStart w:id="11" w:name="_Toc62205246"/>
    </w:p>
    <w:p>
      <w:pPr>
        <w:jc w:val="both"/>
        <w:outlineLvl w:val="3"/>
        <w:rPr>
          <w:rFonts w:ascii="方正仿宋_GBK" w:eastAsia="方正仿宋_GBK"/>
          <w:b/>
          <w:sz w:val="28"/>
        </w:rPr>
      </w:pPr>
    </w:p>
    <w:p>
      <w:pPr>
        <w:jc w:val="both"/>
        <w:outlineLvl w:val="3"/>
        <w:rPr>
          <w:rFonts w:ascii="方正仿宋_GBK" w:eastAsia="方正仿宋_GBK"/>
          <w:b/>
          <w:sz w:val="28"/>
        </w:rPr>
      </w:pPr>
    </w:p>
    <w:p>
      <w:pPr>
        <w:jc w:val="both"/>
        <w:outlineLvl w:val="3"/>
        <w:rPr>
          <w:rFonts w:ascii="方正仿宋_GBK" w:eastAsia="方正仿宋_GBK"/>
          <w:b/>
          <w:sz w:val="28"/>
        </w:rPr>
      </w:pPr>
    </w:p>
    <w:p>
      <w:pPr>
        <w:jc w:val="both"/>
        <w:outlineLvl w:val="3"/>
        <w:rPr>
          <w:rFonts w:ascii="方正仿宋_GBK" w:eastAsia="方正仿宋_GBK"/>
          <w:b/>
          <w:sz w:val="28"/>
        </w:rPr>
      </w:pPr>
    </w:p>
    <w:p>
      <w:pPr>
        <w:ind w:firstLine="560" w:firstLineChars="200"/>
        <w:jc w:val="left"/>
        <w:outlineLvl w:val="3"/>
        <w:rPr>
          <w:rFonts w:ascii="Times New Roman" w:hAnsi="宋体"/>
          <w:b/>
          <w:sz w:val="28"/>
        </w:rPr>
      </w:pPr>
      <w:r>
        <w:rPr>
          <w:rFonts w:ascii="方正仿宋_GBK" w:eastAsia="方正仿宋_GBK"/>
          <w:b/>
          <w:sz w:val="28"/>
        </w:rPr>
        <w:t>1.</w:t>
      </w:r>
      <w:bookmarkEnd w:id="11"/>
      <w:r>
        <w:rPr>
          <w:rFonts w:hint="eastAsia" w:ascii="方正仿宋_GBK" w:eastAsia="方正仿宋_GBK"/>
          <w:b/>
          <w:sz w:val="28"/>
        </w:rPr>
        <w:t>中央政法纪检监察转移支付资金（冀财政法［2020］70号）绩效目标表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1、中央政法纪检监察转移支付资金（冀财政法［2020］70号）绩效目标表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jc w:val="both"/>
        <w:outlineLvl w:val="3"/>
        <w:rPr>
          <w:rFonts w:ascii="Times New Roman" w:hAnsi="宋体"/>
          <w:b/>
          <w:sz w:val="28"/>
        </w:rPr>
      </w:pPr>
    </w:p>
    <w:tbl>
      <w:tblPr>
        <w:tblStyle w:val="9"/>
        <w:tblW w:w="13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5"/>
        <w:gridCol w:w="1395"/>
        <w:gridCol w:w="1710"/>
        <w:gridCol w:w="1782"/>
        <w:gridCol w:w="1479"/>
        <w:gridCol w:w="176"/>
        <w:gridCol w:w="1009"/>
        <w:gridCol w:w="3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97"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451</w:t>
            </w:r>
            <w:r>
              <w:rPr>
                <w:rFonts w:hint="eastAsia" w:ascii="方正书宋_GBK" w:eastAsia="方正书宋_GBK"/>
                <w:b/>
              </w:rPr>
              <w:t>涞水县公安交通警察大队</w:t>
            </w:r>
          </w:p>
        </w:tc>
        <w:tc>
          <w:tcPr>
            <w:tcW w:w="4603"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05" w:type="dxa"/>
            <w:gridSpan w:val="2"/>
            <w:vAlign w:val="center"/>
          </w:tcPr>
          <w:p>
            <w:pPr>
              <w:spacing w:line="300" w:lineRule="exact"/>
              <w:jc w:val="left"/>
              <w:rPr>
                <w:rFonts w:hint="default" w:ascii="方正书宋_GBK" w:eastAsia="方正书宋_GBK"/>
                <w:lang w:val="en-US" w:eastAsia="zh-CN"/>
              </w:rPr>
            </w:pPr>
            <w:r>
              <w:rPr>
                <w:rFonts w:ascii="方正书宋_GBK" w:eastAsia="方正书宋_GBK"/>
              </w:rPr>
              <w:t>13062322P008</w:t>
            </w:r>
            <w:r>
              <w:rPr>
                <w:rFonts w:hint="eastAsia" w:ascii="方正书宋_GBK" w:eastAsia="方正书宋_GBK"/>
                <w:lang w:val="en-US" w:eastAsia="zh-CN"/>
              </w:rPr>
              <w:t>995100013</w:t>
            </w:r>
          </w:p>
        </w:tc>
        <w:tc>
          <w:tcPr>
            <w:tcW w:w="178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58" w:type="dxa"/>
            <w:gridSpan w:val="4"/>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朝阳路街道交通标志标线经费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9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10"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62</w:t>
            </w:r>
          </w:p>
        </w:tc>
        <w:tc>
          <w:tcPr>
            <w:tcW w:w="178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7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62</w:t>
            </w:r>
          </w:p>
        </w:tc>
        <w:tc>
          <w:tcPr>
            <w:tcW w:w="1185"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594"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vMerge w:val="continue"/>
            <w:vAlign w:val="center"/>
          </w:tcPr>
          <w:p>
            <w:pPr>
              <w:spacing w:line="300" w:lineRule="exact"/>
              <w:jc w:val="left"/>
              <w:outlineLvl w:val="3"/>
            </w:pPr>
          </w:p>
        </w:tc>
        <w:tc>
          <w:tcPr>
            <w:tcW w:w="11145" w:type="dxa"/>
            <w:gridSpan w:val="7"/>
            <w:vAlign w:val="center"/>
          </w:tcPr>
          <w:p>
            <w:pPr>
              <w:spacing w:line="300" w:lineRule="exact"/>
              <w:jc w:val="left"/>
              <w:rPr>
                <w:rFonts w:ascii="方正书宋_GBK" w:eastAsia="方正书宋_GBK"/>
              </w:rPr>
            </w:pPr>
            <w:r>
              <w:rPr>
                <w:rFonts w:hint="eastAsia" w:ascii="方正书宋_GBK" w:eastAsia="方正书宋_GBK"/>
              </w:rPr>
              <w:t>资金用于</w:t>
            </w:r>
            <w:r>
              <w:rPr>
                <w:rFonts w:hint="eastAsia" w:ascii="方正书宋_GBK" w:eastAsia="方正书宋_GBK"/>
                <w:lang w:eastAsia="zh-CN"/>
              </w:rPr>
              <w:t>朝阳路街道交通标志标线施划与安装。</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05"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8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79"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79"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vMerge w:val="continue"/>
            <w:vAlign w:val="center"/>
          </w:tcPr>
          <w:p>
            <w:pPr>
              <w:spacing w:line="300" w:lineRule="exact"/>
              <w:jc w:val="left"/>
              <w:outlineLvl w:val="3"/>
            </w:pPr>
          </w:p>
        </w:tc>
        <w:tc>
          <w:tcPr>
            <w:tcW w:w="3105"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782" w:type="dxa"/>
            <w:vAlign w:val="center"/>
          </w:tcPr>
          <w:p>
            <w:pPr>
              <w:spacing w:line="300" w:lineRule="exact"/>
              <w:jc w:val="center"/>
              <w:rPr>
                <w:rFonts w:ascii="方正书宋_GBK" w:eastAsia="方正书宋_GBK"/>
              </w:rPr>
            </w:pPr>
            <w:r>
              <w:rPr>
                <w:rFonts w:ascii="方正书宋_GBK" w:eastAsia="方正书宋_GBK"/>
              </w:rPr>
              <w:t>60.00%</w:t>
            </w:r>
          </w:p>
        </w:tc>
        <w:tc>
          <w:tcPr>
            <w:tcW w:w="1479" w:type="dxa"/>
            <w:vAlign w:val="center"/>
          </w:tcPr>
          <w:p>
            <w:pPr>
              <w:spacing w:line="300" w:lineRule="exact"/>
              <w:jc w:val="center"/>
              <w:rPr>
                <w:rFonts w:ascii="方正书宋_GBK" w:eastAsia="方正书宋_GBK"/>
              </w:rPr>
            </w:pPr>
            <w:r>
              <w:rPr>
                <w:rFonts w:ascii="方正书宋_GBK" w:eastAsia="方正书宋_GBK"/>
              </w:rPr>
              <w:t>90.00%</w:t>
            </w:r>
          </w:p>
        </w:tc>
        <w:tc>
          <w:tcPr>
            <w:tcW w:w="4779" w:type="dxa"/>
            <w:gridSpan w:val="3"/>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5"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145"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维护社会稳定，加强队伍建设，提高办案水平，维护良好的交通秩序。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13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0"/>
        <w:gridCol w:w="1380"/>
        <w:gridCol w:w="1718"/>
        <w:gridCol w:w="3188"/>
        <w:gridCol w:w="1245"/>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0"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8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18"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88"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59"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1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购买办案专用设备</w:t>
            </w:r>
          </w:p>
        </w:tc>
        <w:tc>
          <w:tcPr>
            <w:tcW w:w="318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购买办案专用设备</w:t>
            </w:r>
          </w:p>
        </w:tc>
        <w:tc>
          <w:tcPr>
            <w:tcW w:w="1245" w:type="dxa"/>
            <w:vAlign w:val="center"/>
          </w:tcPr>
          <w:p>
            <w:pPr>
              <w:spacing w:line="300" w:lineRule="exact"/>
              <w:jc w:val="left"/>
              <w:rPr>
                <w:rFonts w:hint="eastAsia" w:ascii="方正书宋_GBK" w:eastAsia="方正书宋_GBK"/>
                <w:lang w:eastAsia="zh-CN"/>
              </w:rPr>
            </w:pPr>
            <w:r>
              <w:rPr>
                <w:rFonts w:hint="eastAsia" w:ascii="方正书宋_GBK" w:eastAsia="方正书宋_GBK"/>
              </w:rPr>
              <w:t>≥</w:t>
            </w:r>
            <w:r>
              <w:rPr>
                <w:rFonts w:ascii="方正书宋_GBK" w:eastAsia="方正书宋_GBK"/>
              </w:rPr>
              <w:t>50</w:t>
            </w:r>
            <w:r>
              <w:rPr>
                <w:rFonts w:hint="eastAsia" w:ascii="方正书宋_GBK" w:eastAsia="方正书宋_GBK"/>
              </w:rPr>
              <w:t>台</w:t>
            </w:r>
          </w:p>
        </w:tc>
        <w:tc>
          <w:tcPr>
            <w:tcW w:w="3559"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71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巡警警力覆盖率（</w:t>
            </w:r>
            <w:r>
              <w:rPr>
                <w:rFonts w:ascii="方正书宋_GBK" w:eastAsia="方正书宋_GBK"/>
              </w:rPr>
              <w:t>%</w:t>
            </w:r>
            <w:r>
              <w:rPr>
                <w:rFonts w:hint="eastAsia" w:ascii="方正书宋_GBK" w:eastAsia="方正书宋_GBK"/>
              </w:rPr>
              <w:t>）</w:t>
            </w:r>
          </w:p>
        </w:tc>
        <w:tc>
          <w:tcPr>
            <w:tcW w:w="318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巡警警力在各个路口、路段分布的概率。</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559" w:type="dxa"/>
            <w:vAlign w:val="center"/>
          </w:tcPr>
          <w:p>
            <w:pPr>
              <w:spacing w:line="300" w:lineRule="exact"/>
              <w:jc w:val="left"/>
              <w:rPr>
                <w:rFonts w:cs="宋体"/>
                <w:color w:val="000000"/>
                <w:sz w:val="22"/>
                <w:szCs w:val="22"/>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71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交通事故处理办结率（</w:t>
            </w:r>
            <w:r>
              <w:rPr>
                <w:rFonts w:ascii="方正书宋_GBK" w:eastAsia="方正书宋_GBK"/>
              </w:rPr>
              <w:t>%</w:t>
            </w:r>
            <w:r>
              <w:rPr>
                <w:rFonts w:hint="eastAsia" w:ascii="方正书宋_GBK" w:eastAsia="方正书宋_GBK"/>
              </w:rPr>
              <w:t>）</w:t>
            </w:r>
          </w:p>
        </w:tc>
        <w:tc>
          <w:tcPr>
            <w:tcW w:w="3188" w:type="dxa"/>
            <w:vAlign w:val="center"/>
          </w:tcPr>
          <w:p>
            <w:pPr>
              <w:spacing w:line="300" w:lineRule="exact"/>
              <w:jc w:val="left"/>
              <w:rPr>
                <w:rFonts w:cs="宋体"/>
                <w:color w:val="000000"/>
                <w:sz w:val="22"/>
                <w:szCs w:val="22"/>
              </w:rPr>
            </w:pPr>
            <w:r>
              <w:rPr>
                <w:rFonts w:hint="eastAsia" w:ascii="方正书宋_GBK" w:eastAsia="方正书宋_GBK"/>
              </w:rPr>
              <w:t>已处理的交通事故占应处理的交通事故的比率（</w:t>
            </w:r>
            <w:r>
              <w:rPr>
                <w:rFonts w:ascii="方正书宋_GBK" w:eastAsia="方正书宋_GBK"/>
              </w:rPr>
              <w:t>%</w:t>
            </w:r>
            <w:r>
              <w:rPr>
                <w:rFonts w:hint="eastAsia" w:ascii="方正书宋_GBK" w:eastAsia="方正书宋_GBK"/>
              </w:rPr>
              <w:t>）</w:t>
            </w:r>
          </w:p>
        </w:tc>
        <w:tc>
          <w:tcPr>
            <w:tcW w:w="1245"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ascii="方正书宋_GBK" w:eastAsia="方正书宋_GBK"/>
              </w:rPr>
              <w:t>80%</w:t>
            </w:r>
          </w:p>
        </w:tc>
        <w:tc>
          <w:tcPr>
            <w:tcW w:w="3559" w:type="dxa"/>
            <w:vAlign w:val="center"/>
          </w:tcPr>
          <w:p>
            <w:pPr>
              <w:spacing w:line="300" w:lineRule="exact"/>
              <w:jc w:val="left"/>
              <w:rPr>
                <w:rFonts w:cs="宋体"/>
                <w:color w:val="000000"/>
                <w:sz w:val="22"/>
                <w:szCs w:val="22"/>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718"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项目总成本</w:t>
            </w:r>
          </w:p>
        </w:tc>
        <w:tc>
          <w:tcPr>
            <w:tcW w:w="3188" w:type="dxa"/>
            <w:vAlign w:val="center"/>
          </w:tcPr>
          <w:p>
            <w:pPr>
              <w:spacing w:line="300" w:lineRule="exact"/>
              <w:jc w:val="left"/>
              <w:rPr>
                <w:rFonts w:hint="default" w:eastAsia="宋体" w:cs="宋体"/>
                <w:color w:val="000000"/>
                <w:sz w:val="22"/>
                <w:szCs w:val="22"/>
                <w:lang w:val="en-US" w:eastAsia="zh-CN"/>
              </w:rPr>
            </w:pPr>
            <w:r>
              <w:rPr>
                <w:rFonts w:hint="eastAsia" w:ascii="方正书宋_GBK" w:eastAsia="方正书宋_GBK"/>
              </w:rPr>
              <w:t>项目总预算控制额</w:t>
            </w:r>
          </w:p>
        </w:tc>
        <w:tc>
          <w:tcPr>
            <w:tcW w:w="1245" w:type="dxa"/>
            <w:vAlign w:val="center"/>
          </w:tcPr>
          <w:p>
            <w:pPr>
              <w:spacing w:line="300" w:lineRule="exact"/>
              <w:jc w:val="left"/>
              <w:rPr>
                <w:rFonts w:hint="default" w:ascii="方正书宋_GBK" w:eastAsia="方正书宋_GBK"/>
                <w:lang w:val="en-US" w:eastAsia="zh-CN"/>
              </w:rPr>
            </w:pPr>
            <w:r>
              <w:rPr>
                <w:rFonts w:ascii="方正书宋_GBK" w:eastAsia="方正书宋_GBK"/>
              </w:rPr>
              <w:t>62</w:t>
            </w:r>
            <w:r>
              <w:rPr>
                <w:rFonts w:hint="eastAsia" w:ascii="方正书宋_GBK" w:eastAsia="方正书宋_GBK"/>
              </w:rPr>
              <w:t>万元</w:t>
            </w:r>
          </w:p>
        </w:tc>
        <w:tc>
          <w:tcPr>
            <w:tcW w:w="3559" w:type="dxa"/>
            <w:vAlign w:val="center"/>
          </w:tcPr>
          <w:p>
            <w:pPr>
              <w:spacing w:line="300" w:lineRule="exact"/>
              <w:jc w:val="left"/>
              <w:rPr>
                <w:rFonts w:cs="宋体"/>
                <w:color w:val="000000"/>
                <w:sz w:val="22"/>
                <w:szCs w:val="22"/>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380" w:type="dxa"/>
            <w:vAlign w:val="center"/>
          </w:tcPr>
          <w:p>
            <w:pPr>
              <w:spacing w:line="300" w:lineRule="exact"/>
              <w:jc w:val="left"/>
              <w:rPr>
                <w:rFonts w:ascii="宋体" w:hAnsi="宋体" w:cs="宋体"/>
                <w:sz w:val="22"/>
                <w:szCs w:val="22"/>
              </w:rPr>
            </w:pPr>
            <w:r>
              <w:rPr>
                <w:rFonts w:hint="eastAsia" w:ascii="方正书宋_GBK" w:eastAsia="方正书宋_GBK"/>
              </w:rPr>
              <w:t>经济效益指标</w:t>
            </w:r>
          </w:p>
        </w:tc>
        <w:tc>
          <w:tcPr>
            <w:tcW w:w="1718" w:type="dxa"/>
            <w:vAlign w:val="center"/>
          </w:tcPr>
          <w:p>
            <w:pPr>
              <w:spacing w:line="300" w:lineRule="exact"/>
              <w:jc w:val="left"/>
              <w:rPr>
                <w:rFonts w:cs="宋体"/>
                <w:color w:val="000000"/>
                <w:sz w:val="22"/>
                <w:szCs w:val="22"/>
              </w:rPr>
            </w:pPr>
            <w:r>
              <w:rPr>
                <w:rFonts w:hint="eastAsia" w:ascii="方正书宋_GBK" w:eastAsia="方正书宋_GBK"/>
              </w:rPr>
              <w:t>减少交通事故的发生</w:t>
            </w:r>
          </w:p>
        </w:tc>
        <w:tc>
          <w:tcPr>
            <w:tcW w:w="3188" w:type="dxa"/>
            <w:vAlign w:val="center"/>
          </w:tcPr>
          <w:p>
            <w:pPr>
              <w:spacing w:line="300" w:lineRule="exact"/>
              <w:jc w:val="left"/>
              <w:rPr>
                <w:rFonts w:cs="宋体"/>
                <w:color w:val="000000"/>
                <w:sz w:val="22"/>
                <w:szCs w:val="22"/>
              </w:rPr>
            </w:pPr>
            <w:r>
              <w:rPr>
                <w:rFonts w:hint="eastAsia" w:ascii="方正书宋_GBK" w:eastAsia="方正书宋_GBK"/>
              </w:rPr>
              <w:t>交通事故的发生的比例比上年同期减少</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p>
        </w:tc>
        <w:tc>
          <w:tcPr>
            <w:tcW w:w="3559"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718" w:type="dxa"/>
            <w:vAlign w:val="center"/>
          </w:tcPr>
          <w:p>
            <w:pPr>
              <w:spacing w:line="300" w:lineRule="exact"/>
              <w:jc w:val="left"/>
              <w:rPr>
                <w:rFonts w:ascii="方正书宋_GBK" w:eastAsia="方正书宋_GBK"/>
              </w:rPr>
            </w:pPr>
            <w:r>
              <w:rPr>
                <w:rFonts w:hint="eastAsia" w:ascii="方正书宋_GBK" w:eastAsia="方正书宋_GBK"/>
              </w:rPr>
              <w:t>车辆违法下降率（</w:t>
            </w:r>
            <w:r>
              <w:rPr>
                <w:rFonts w:ascii="方正书宋_GBK" w:eastAsia="方正书宋_GBK"/>
              </w:rPr>
              <w:t>%</w:t>
            </w:r>
            <w:r>
              <w:rPr>
                <w:rFonts w:hint="eastAsia" w:ascii="方正书宋_GBK" w:eastAsia="方正书宋_GBK"/>
              </w:rPr>
              <w:t>）</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全县违法车辆比上年同期减少的比例（</w:t>
            </w:r>
            <w:r>
              <w:rPr>
                <w:rFonts w:ascii="方正书宋_GBK" w:eastAsia="方正书宋_GBK"/>
              </w:rPr>
              <w:t>%</w:t>
            </w:r>
            <w:r>
              <w:rPr>
                <w:rFonts w:hint="eastAsia" w:ascii="方正书宋_GBK" w:eastAsia="方正书宋_GBK"/>
              </w:rPr>
              <w:t>）</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p>
        </w:tc>
        <w:tc>
          <w:tcPr>
            <w:tcW w:w="3559"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718" w:type="dxa"/>
            <w:vAlign w:val="center"/>
          </w:tcPr>
          <w:p>
            <w:pPr>
              <w:spacing w:line="300" w:lineRule="exact"/>
              <w:jc w:val="left"/>
              <w:rPr>
                <w:rFonts w:ascii="方正书宋_GBK" w:eastAsia="方正书宋_GBK"/>
              </w:rPr>
            </w:pPr>
            <w:r>
              <w:rPr>
                <w:rFonts w:hint="eastAsia" w:ascii="方正书宋_GBK" w:eastAsia="方正书宋_GBK"/>
              </w:rPr>
              <w:t>道路交通拥堵情况</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缓解城市交通拥堵，维护道路交通安全畅通。</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559"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Merge w:val="continue"/>
            <w:vAlign w:val="center"/>
          </w:tcPr>
          <w:p>
            <w:pPr>
              <w:spacing w:line="300" w:lineRule="exact"/>
              <w:jc w:val="center"/>
              <w:rPr>
                <w:rFonts w:ascii="方正书宋_GBK" w:eastAsia="方正书宋_GBK"/>
              </w:rPr>
            </w:pPr>
          </w:p>
        </w:tc>
        <w:tc>
          <w:tcPr>
            <w:tcW w:w="1380"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718" w:type="dxa"/>
            <w:vAlign w:val="center"/>
          </w:tcPr>
          <w:p>
            <w:pPr>
              <w:spacing w:line="300" w:lineRule="exact"/>
              <w:jc w:val="left"/>
              <w:rPr>
                <w:rFonts w:ascii="方正书宋_GBK" w:eastAsia="方正书宋_GBK"/>
              </w:rPr>
            </w:pPr>
            <w:r>
              <w:rPr>
                <w:rFonts w:hint="eastAsia" w:ascii="方正书宋_GBK" w:eastAsia="方正书宋_GBK"/>
              </w:rPr>
              <w:t>持续规范机动车上路行驶</w:t>
            </w:r>
          </w:p>
        </w:tc>
        <w:tc>
          <w:tcPr>
            <w:tcW w:w="3188" w:type="dxa"/>
            <w:vAlign w:val="center"/>
          </w:tcPr>
          <w:p>
            <w:pPr>
              <w:spacing w:line="300" w:lineRule="exact"/>
              <w:jc w:val="left"/>
              <w:rPr>
                <w:rFonts w:ascii="方正书宋_GBK" w:eastAsia="方正书宋_GBK"/>
              </w:rPr>
            </w:pPr>
            <w:r>
              <w:rPr>
                <w:rFonts w:hint="eastAsia" w:ascii="方正书宋_GBK" w:eastAsia="方正书宋_GBK"/>
              </w:rPr>
              <w:t>持续保障机动车上路规范行驶</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559" w:type="dxa"/>
            <w:vAlign w:val="center"/>
          </w:tcPr>
          <w:p>
            <w:pPr>
              <w:spacing w:line="300" w:lineRule="exact"/>
              <w:jc w:val="left"/>
              <w:rPr>
                <w:rFonts w:ascii="方正书宋_GBK" w:eastAsia="方正书宋_GBK"/>
              </w:rPr>
            </w:pPr>
            <w:r>
              <w:rPr>
                <w:rFonts w:hint="eastAsia" w:ascii="方正书宋_GBK" w:eastAsia="方正书宋_GBK"/>
              </w:rPr>
              <w:t>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30"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380" w:type="dxa"/>
            <w:vAlign w:val="center"/>
          </w:tcPr>
          <w:p>
            <w:pPr>
              <w:rPr>
                <w:rFonts w:ascii="宋体" w:hAnsi="宋体" w:cs="宋体"/>
                <w:sz w:val="22"/>
                <w:szCs w:val="22"/>
              </w:rPr>
            </w:pPr>
            <w:r>
              <w:rPr>
                <w:rFonts w:hint="eastAsia"/>
                <w:sz w:val="22"/>
                <w:szCs w:val="22"/>
              </w:rPr>
              <w:t>服务对象满意度指标</w:t>
            </w:r>
          </w:p>
        </w:tc>
        <w:tc>
          <w:tcPr>
            <w:tcW w:w="1718" w:type="dxa"/>
          </w:tcPr>
          <w:p>
            <w:pPr>
              <w:rPr>
                <w:rFonts w:cs="宋体"/>
                <w:color w:val="000000"/>
                <w:sz w:val="22"/>
                <w:szCs w:val="22"/>
              </w:rPr>
            </w:pPr>
            <w:r>
              <w:rPr>
                <w:color w:val="000000"/>
                <w:sz w:val="22"/>
                <w:szCs w:val="22"/>
              </w:rPr>
              <w:t>群众满意度</w:t>
            </w:r>
          </w:p>
        </w:tc>
        <w:tc>
          <w:tcPr>
            <w:tcW w:w="3188" w:type="dxa"/>
          </w:tcPr>
          <w:p>
            <w:pPr>
              <w:rPr>
                <w:rFonts w:cs="宋体"/>
                <w:color w:val="000000"/>
                <w:sz w:val="22"/>
                <w:szCs w:val="22"/>
              </w:rPr>
            </w:pPr>
            <w:r>
              <w:rPr>
                <w:color w:val="000000"/>
                <w:sz w:val="22"/>
                <w:szCs w:val="22"/>
              </w:rPr>
              <w:t>群众满意度</w:t>
            </w:r>
          </w:p>
        </w:tc>
        <w:tc>
          <w:tcPr>
            <w:tcW w:w="124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559" w:type="dxa"/>
            <w:vAlign w:val="center"/>
          </w:tcPr>
          <w:p>
            <w:pPr>
              <w:jc w:val="left"/>
              <w:rPr>
                <w:rFonts w:cs="宋体"/>
                <w:color w:val="000000"/>
                <w:sz w:val="22"/>
                <w:szCs w:val="22"/>
              </w:rPr>
            </w:pPr>
            <w:r>
              <w:rPr>
                <w:color w:val="000000"/>
                <w:sz w:val="22"/>
                <w:szCs w:val="22"/>
              </w:rPr>
              <w:t>完成指标值比率</w:t>
            </w:r>
          </w:p>
          <w:p>
            <w:pPr>
              <w:spacing w:line="300" w:lineRule="exact"/>
              <w:jc w:val="left"/>
              <w:rPr>
                <w:rFonts w:ascii="方正书宋_GBK" w:eastAsia="方正书宋_GBK"/>
              </w:rPr>
            </w:pPr>
          </w:p>
        </w:tc>
      </w:tr>
    </w:tbl>
    <w:p>
      <w:pPr>
        <w:ind w:firstLine="560" w:firstLineChars="200"/>
        <w:jc w:val="left"/>
        <w:outlineLvl w:val="3"/>
        <w:rPr>
          <w:rFonts w:ascii="Times New Roman" w:hAnsi="宋体"/>
          <w:b/>
          <w:sz w:val="28"/>
        </w:rPr>
      </w:pPr>
      <w:bookmarkStart w:id="12" w:name="_Toc62205247"/>
      <w:r>
        <w:rPr>
          <w:rFonts w:hint="eastAsia" w:ascii="方正仿宋_GBK" w:eastAsia="方正仿宋_GBK"/>
          <w:b/>
          <w:sz w:val="28"/>
        </w:rPr>
        <w:t>2.收费罚没安排的支出绩效目标表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2、收费罚没安排的支出绩效目标表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451003</w:t>
            </w:r>
            <w:r>
              <w:rPr>
                <w:rFonts w:hint="eastAsia" w:ascii="方正书宋_GBK" w:eastAsia="方正书宋_GBK"/>
                <w:b/>
              </w:rPr>
              <w:t>涞水县公安交通警察大队事业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13062321YFFOKA42QDEKU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收费罚没安排的支出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276.73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276.73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资金用于我单位日常公用经费支出，公务车运行维护支出。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维护我单位日常工作运转。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维护道路交通安全畅通，减少主要路段交通事故的发生。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缓解城市交通拥堵，维护良好的交通秩序。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巡警警力覆盖率（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巡警警力在各个路段分布的覆盖率（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办公用电及时性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大队及各中队供电及时性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276.73</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县城道路管理建设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完善县城道路管理建设，规范机动车上路行驶。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较少交通事故的发生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交通事故的发生比上年同期下降的比率（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车辆违法下降率（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车辆违法下降率比上年同期减少（</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持续规范机动车管理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持续保障机动车上路规范行驶。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通过问卷调查，群众对机动车管理工作的满意程度。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520" w:lineRule="exact"/>
        <w:ind w:firstLine="643" w:firstLineChars="200"/>
        <w:rPr>
          <w:rFonts w:cs="仿宋" w:asciiTheme="minorEastAsia" w:hAnsiTheme="minorEastAsia" w:eastAsiaTheme="minorEastAsia"/>
          <w:sz w:val="32"/>
          <w:szCs w:val="32"/>
        </w:rPr>
      </w:pPr>
      <w:r>
        <w:rPr>
          <w:rFonts w:hint="eastAsia" w:ascii="仿宋" w:hAnsi="仿宋" w:eastAsia="仿宋"/>
          <w:b/>
          <w:bCs/>
          <w:sz w:val="32"/>
          <w:szCs w:val="32"/>
        </w:rPr>
        <w:t>六、政府采购预算情况</w:t>
      </w:r>
    </w:p>
    <w:p>
      <w:pPr>
        <w:jc w:val="center"/>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部门政府采购预算</w:t>
      </w:r>
    </w:p>
    <w:tbl>
      <w:tblPr>
        <w:tblStyle w:val="9"/>
        <w:tblW w:w="139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940"/>
        <w:gridCol w:w="726"/>
        <w:gridCol w:w="726"/>
        <w:gridCol w:w="809"/>
        <w:gridCol w:w="918"/>
        <w:gridCol w:w="962"/>
        <w:gridCol w:w="874"/>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13"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rPr>
            </w:pPr>
            <w:r>
              <w:rPr>
                <w:rFonts w:ascii="仿宋" w:hAnsi="仿宋" w:eastAsia="仿宋"/>
                <w:szCs w:val="21"/>
              </w:rPr>
              <w:t>451</w:t>
            </w:r>
            <w:r>
              <w:rPr>
                <w:rFonts w:hint="eastAsia" w:ascii="仿宋" w:hAnsi="仿宋" w:eastAsia="仿宋"/>
                <w:szCs w:val="21"/>
              </w:rPr>
              <w:t>涞水县公安交通警察大队</w:t>
            </w:r>
          </w:p>
        </w:tc>
        <w:tc>
          <w:tcPr>
            <w:tcW w:w="6393"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rPr>
            </w:pPr>
            <w:r>
              <w:rPr>
                <w:rFonts w:hint="eastAsia" w:ascii="仿宋" w:hAnsi="仿宋" w:eastAsia="仿宋"/>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92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94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 xml:space="preserve">  </w:t>
            </w:r>
            <w:r>
              <w:rPr>
                <w:rFonts w:hint="eastAsia" w:ascii="仿宋" w:hAnsi="仿宋" w:eastAsia="仿宋"/>
                <w:b/>
                <w:szCs w:val="21"/>
              </w:rPr>
              <w:t>单位</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80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6393" w:type="dxa"/>
            <w:gridSpan w:val="7"/>
            <w:vAlign w:val="center"/>
          </w:tcPr>
          <w:p>
            <w:pPr>
              <w:spacing w:line="300" w:lineRule="exact"/>
              <w:jc w:val="center"/>
              <w:rPr>
                <w:rFonts w:ascii="仿宋" w:hAnsi="仿宋" w:eastAsia="仿宋"/>
                <w:b/>
                <w:szCs w:val="21"/>
              </w:rPr>
            </w:pPr>
            <w:r>
              <w:rPr>
                <w:rFonts w:hint="eastAsia" w:ascii="仿宋" w:hAnsi="仿宋" w:eastAsia="仿宋"/>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04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总计</w:t>
            </w:r>
          </w:p>
        </w:tc>
        <w:tc>
          <w:tcPr>
            <w:tcW w:w="4596" w:type="dxa"/>
            <w:gridSpan w:val="5"/>
            <w:vAlign w:val="center"/>
          </w:tcPr>
          <w:p>
            <w:pPr>
              <w:spacing w:line="300" w:lineRule="exact"/>
              <w:jc w:val="center"/>
              <w:rPr>
                <w:rFonts w:ascii="仿宋" w:hAnsi="仿宋" w:eastAsia="仿宋"/>
                <w:b/>
                <w:szCs w:val="21"/>
              </w:rPr>
            </w:pPr>
            <w:r>
              <w:rPr>
                <w:rFonts w:hint="eastAsia" w:ascii="仿宋" w:hAnsi="仿宋" w:eastAsia="仿宋"/>
                <w:b/>
                <w:szCs w:val="21"/>
              </w:rPr>
              <w:t>当年部门预算安排资金</w:t>
            </w:r>
          </w:p>
        </w:tc>
        <w:tc>
          <w:tcPr>
            <w:tcW w:w="87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仿宋" w:hAnsi="仿宋" w:eastAsia="仿宋"/>
                <w:szCs w:val="21"/>
              </w:rPr>
            </w:pPr>
          </w:p>
        </w:tc>
        <w:tc>
          <w:tcPr>
            <w:tcW w:w="1048" w:type="dxa"/>
            <w:vMerge w:val="continue"/>
            <w:vAlign w:val="center"/>
          </w:tcPr>
          <w:p>
            <w:pPr>
              <w:spacing w:line="300" w:lineRule="exact"/>
              <w:jc w:val="left"/>
              <w:outlineLvl w:val="0"/>
              <w:rPr>
                <w:rFonts w:ascii="仿宋" w:hAnsi="仿宋" w:eastAsia="仿宋"/>
                <w:szCs w:val="21"/>
              </w:rPr>
            </w:pP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continue"/>
            <w:vAlign w:val="center"/>
          </w:tcPr>
          <w:p>
            <w:pPr>
              <w:spacing w:line="300" w:lineRule="exact"/>
              <w:jc w:val="left"/>
              <w:outlineLvl w:val="0"/>
              <w:rPr>
                <w:rFonts w:ascii="仿宋" w:hAnsi="仿宋" w:eastAsia="仿宋"/>
                <w:szCs w:val="21"/>
              </w:rPr>
            </w:pPr>
          </w:p>
        </w:tc>
        <w:tc>
          <w:tcPr>
            <w:tcW w:w="962"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874"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918"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c>
          <w:tcPr>
            <w:tcW w:w="879" w:type="dxa"/>
            <w:vMerge w:val="continue"/>
            <w:vAlign w:val="center"/>
          </w:tcPr>
          <w:p>
            <w:pPr>
              <w:spacing w:line="300" w:lineRule="exact"/>
              <w:jc w:val="left"/>
              <w:outlineLvl w:val="0"/>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szCs w:val="21"/>
              </w:rPr>
              <w:t>涞水县公安交通警察大队小计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bl>
    <w:p>
      <w:pPr>
        <w:spacing w:line="520" w:lineRule="exact"/>
        <w:ind w:firstLine="640" w:firstLineChars="200"/>
        <w:rPr>
          <w:rFonts w:ascii="仿宋" w:hAnsi="仿宋" w:eastAsia="仿宋"/>
          <w:sz w:val="32"/>
          <w:szCs w:val="32"/>
        </w:rPr>
        <w:sectPr>
          <w:footerReference r:id="rId5" w:type="default"/>
          <w:pgSz w:w="16839" w:h="11907" w:orient="landscape"/>
          <w:pgMar w:top="1021" w:right="1361" w:bottom="1021" w:left="1361" w:header="851" w:footer="992" w:gutter="0"/>
          <w:cols w:space="720" w:num="1"/>
          <w:docGrid w:type="lines" w:linePitch="312" w:charSpace="0"/>
        </w:sectPr>
      </w:pPr>
      <w:r>
        <w:rPr>
          <w:rFonts w:hint="eastAsia" w:cs="仿宋" w:asciiTheme="minorEastAsia" w:hAnsiTheme="minorEastAsia" w:eastAsiaTheme="minorEastAsia"/>
          <w:sz w:val="32"/>
          <w:szCs w:val="32"/>
          <w:lang w:val="en-US" w:eastAsia="zh-CN"/>
        </w:rPr>
        <w:t>注：</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2年我</w:t>
      </w:r>
      <w:r>
        <w:rPr>
          <w:rFonts w:hint="eastAsia" w:cs="仿宋" w:asciiTheme="minorEastAsia" w:hAnsiTheme="minorEastAsia" w:eastAsiaTheme="minorEastAsia"/>
          <w:sz w:val="32"/>
          <w:szCs w:val="32"/>
        </w:rPr>
        <w:t>部门</w:t>
      </w:r>
      <w:r>
        <w:rPr>
          <w:rFonts w:hint="eastAsia" w:cs="仿宋" w:asciiTheme="minorEastAsia" w:hAnsiTheme="minorEastAsia" w:eastAsiaTheme="minorEastAsia"/>
          <w:sz w:val="32"/>
          <w:szCs w:val="32"/>
          <w:lang w:val="en-US" w:eastAsia="zh-CN"/>
        </w:rPr>
        <w:t>没有</w:t>
      </w:r>
      <w:r>
        <w:rPr>
          <w:rFonts w:hint="eastAsia" w:cs="仿宋" w:asciiTheme="minorEastAsia" w:hAnsiTheme="minorEastAsia" w:eastAsiaTheme="minorEastAsia"/>
          <w:sz w:val="32"/>
          <w:szCs w:val="32"/>
        </w:rPr>
        <w:t>安排政府采购预算，空表列示。</w:t>
      </w:r>
    </w:p>
    <w:p>
      <w:pPr>
        <w:widowControl/>
        <w:spacing w:line="560" w:lineRule="exact"/>
        <w:ind w:firstLine="630"/>
        <w:rPr>
          <w:rFonts w:ascii="宋体" w:cs="仿宋"/>
          <w:kern w:val="0"/>
          <w:sz w:val="30"/>
          <w:szCs w:val="30"/>
        </w:rPr>
      </w:pP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七、国有资产信息情况</w:t>
      </w: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截止到</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年年底我部门国有资产总额</w:t>
      </w:r>
      <w:r>
        <w:rPr>
          <w:rFonts w:hint="eastAsia" w:cs="仿宋" w:asciiTheme="minorEastAsia" w:hAnsiTheme="minorEastAsia" w:eastAsiaTheme="minorEastAsia"/>
          <w:sz w:val="32"/>
          <w:szCs w:val="32"/>
          <w:lang w:val="en-US" w:eastAsia="zh-CN"/>
        </w:rPr>
        <w:t>383.75</w:t>
      </w:r>
      <w:r>
        <w:rPr>
          <w:rFonts w:hint="eastAsia" w:cs="仿宋" w:asciiTheme="minorEastAsia" w:hAnsiTheme="minorEastAsia" w:eastAsiaTheme="minorEastAsia"/>
          <w:sz w:val="32"/>
          <w:szCs w:val="32"/>
        </w:rPr>
        <w:t>万元，其中业务用房共计</w:t>
      </w:r>
      <w:r>
        <w:rPr>
          <w:rFonts w:cs="仿宋" w:asciiTheme="minorEastAsia" w:hAnsiTheme="minorEastAsia" w:eastAsiaTheme="minorEastAsia"/>
          <w:sz w:val="32"/>
          <w:szCs w:val="32"/>
        </w:rPr>
        <w:t>4500</w:t>
      </w:r>
      <w:r>
        <w:rPr>
          <w:rFonts w:hint="eastAsia" w:cs="仿宋" w:asciiTheme="minorEastAsia" w:hAnsiTheme="minorEastAsia" w:eastAsiaTheme="minorEastAsia"/>
          <w:sz w:val="32"/>
          <w:szCs w:val="32"/>
        </w:rPr>
        <w:t>平米，价值</w:t>
      </w:r>
      <w:r>
        <w:rPr>
          <w:rFonts w:hint="eastAsia" w:cs="仿宋" w:asciiTheme="minorEastAsia" w:hAnsiTheme="minorEastAsia" w:eastAsiaTheme="minorEastAsia"/>
          <w:sz w:val="32"/>
          <w:szCs w:val="32"/>
          <w:lang w:val="en-US" w:eastAsia="zh-CN"/>
        </w:rPr>
        <w:t>164.38</w:t>
      </w:r>
      <w:r>
        <w:rPr>
          <w:rFonts w:hint="eastAsia" w:cs="仿宋" w:asciiTheme="minorEastAsia" w:hAnsiTheme="minorEastAsia" w:eastAsiaTheme="minorEastAsia"/>
          <w:sz w:val="32"/>
          <w:szCs w:val="32"/>
        </w:rPr>
        <w:t>万元；车辆共计</w:t>
      </w:r>
      <w:r>
        <w:rPr>
          <w:rFonts w:hint="eastAsia" w:cs="仿宋" w:asciiTheme="minorEastAsia" w:hAnsiTheme="minorEastAsia" w:eastAsiaTheme="minorEastAsia"/>
          <w:sz w:val="32"/>
          <w:szCs w:val="32"/>
          <w:lang w:val="en-US" w:eastAsia="zh-CN"/>
        </w:rPr>
        <w:t>27</w:t>
      </w:r>
      <w:r>
        <w:rPr>
          <w:rFonts w:hint="eastAsia" w:cs="仿宋" w:asciiTheme="minorEastAsia" w:hAnsiTheme="minorEastAsia" w:eastAsiaTheme="minorEastAsia"/>
          <w:sz w:val="32"/>
          <w:szCs w:val="32"/>
        </w:rPr>
        <w:t>辆，价值</w:t>
      </w:r>
      <w:r>
        <w:rPr>
          <w:rFonts w:hint="eastAsia" w:cs="仿宋" w:asciiTheme="minorEastAsia" w:hAnsiTheme="minorEastAsia" w:eastAsiaTheme="minorEastAsia"/>
          <w:sz w:val="32"/>
          <w:szCs w:val="32"/>
          <w:lang w:val="en-US" w:eastAsia="zh-CN"/>
        </w:rPr>
        <w:t>167.35</w:t>
      </w:r>
      <w:r>
        <w:rPr>
          <w:rFonts w:hint="eastAsia" w:cs="仿宋" w:asciiTheme="minorEastAsia" w:hAnsiTheme="minorEastAsia" w:eastAsiaTheme="minorEastAsia"/>
          <w:sz w:val="32"/>
          <w:szCs w:val="32"/>
        </w:rPr>
        <w:t>万元，其他资产</w:t>
      </w:r>
      <w:r>
        <w:rPr>
          <w:rFonts w:hint="eastAsia" w:cs="仿宋" w:asciiTheme="minorEastAsia" w:hAnsiTheme="minorEastAsia" w:eastAsiaTheme="minorEastAsia"/>
          <w:sz w:val="32"/>
          <w:szCs w:val="32"/>
          <w:lang w:val="en-US" w:eastAsia="zh-CN"/>
        </w:rPr>
        <w:t>52.02</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我部门</w:t>
      </w:r>
      <w:r>
        <w:rPr>
          <w:rFonts w:hint="eastAsia" w:cs="仿宋" w:asciiTheme="minorEastAsia" w:hAnsiTheme="minorEastAsia" w:eastAsiaTheme="minorEastAsia"/>
          <w:sz w:val="32"/>
          <w:szCs w:val="32"/>
        </w:rPr>
        <w:t>无购置固定资产</w:t>
      </w:r>
      <w:r>
        <w:rPr>
          <w:rFonts w:hint="eastAsia" w:cs="仿宋" w:asciiTheme="minorEastAsia" w:hAnsiTheme="minorEastAsia" w:eastAsiaTheme="minorEastAsia"/>
          <w:sz w:val="32"/>
          <w:szCs w:val="32"/>
          <w:lang w:val="en-US" w:eastAsia="zh-CN"/>
        </w:rPr>
        <w:t>情况</w:t>
      </w:r>
      <w:r>
        <w:rPr>
          <w:rFonts w:hint="eastAsia" w:cs="仿宋" w:asciiTheme="minorEastAsia" w:hAnsiTheme="minorEastAsia" w:eastAsiaTheme="minorEastAsia"/>
          <w:sz w:val="32"/>
          <w:szCs w:val="32"/>
        </w:rPr>
        <w:t>。</w:t>
      </w:r>
    </w:p>
    <w:p>
      <w:pPr>
        <w:pStyle w:val="8"/>
        <w:shd w:val="clear" w:color="auto" w:fill="FFFFFF"/>
        <w:spacing w:line="520" w:lineRule="exact"/>
        <w:ind w:firstLine="640"/>
        <w:jc w:val="center"/>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固定资产占用情况表</w:t>
      </w:r>
    </w:p>
    <w:p>
      <w:pPr>
        <w:pStyle w:val="8"/>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cs="仿宋" w:asciiTheme="minorEastAsia" w:hAnsiTheme="minorEastAsia" w:eastAsiaTheme="minorEastAsia"/>
          <w:kern w:val="2"/>
          <w:sz w:val="32"/>
          <w:szCs w:val="32"/>
        </w:rPr>
        <w:t xml:space="preserve"> </w:t>
      </w:r>
      <w:r>
        <w:rPr>
          <w:rFonts w:hint="eastAsia" w:cs="仿宋" w:asciiTheme="minorEastAsia" w:hAnsiTheme="minorEastAsia" w:eastAsiaTheme="minorEastAsia"/>
          <w:kern w:val="2"/>
          <w:sz w:val="32"/>
          <w:szCs w:val="32"/>
        </w:rPr>
        <w:t>截止时间：</w:t>
      </w:r>
      <w:r>
        <w:rPr>
          <w:rFonts w:cs="仿宋" w:asciiTheme="minorEastAsia" w:hAnsiTheme="minorEastAsia" w:eastAsiaTheme="minorEastAsia"/>
          <w:kern w:val="2"/>
          <w:sz w:val="32"/>
          <w:szCs w:val="32"/>
        </w:rPr>
        <w:t>202</w:t>
      </w:r>
      <w:r>
        <w:rPr>
          <w:rFonts w:hint="eastAsia" w:cs="仿宋" w:asciiTheme="minorEastAsia" w:hAnsiTheme="minorEastAsia" w:eastAsiaTheme="minorEastAsia"/>
          <w:kern w:val="2"/>
          <w:sz w:val="32"/>
          <w:szCs w:val="32"/>
          <w:lang w:val="en-US" w:eastAsia="zh-CN"/>
        </w:rPr>
        <w:t>0</w:t>
      </w:r>
      <w:r>
        <w:rPr>
          <w:rFonts w:hint="eastAsia" w:cs="仿宋" w:asciiTheme="minorEastAsia" w:hAnsiTheme="minorEastAsia" w:eastAsiaTheme="minorEastAsia"/>
          <w:kern w:val="2"/>
          <w:sz w:val="32"/>
          <w:szCs w:val="32"/>
        </w:rPr>
        <w:t>年</w:t>
      </w:r>
      <w:r>
        <w:rPr>
          <w:rFonts w:cs="仿宋" w:asciiTheme="minorEastAsia" w:hAnsiTheme="minorEastAsia" w:eastAsiaTheme="minorEastAsia"/>
          <w:kern w:val="2"/>
          <w:sz w:val="32"/>
          <w:szCs w:val="32"/>
        </w:rPr>
        <w:t>12</w:t>
      </w:r>
      <w:r>
        <w:rPr>
          <w:rFonts w:hint="eastAsia" w:cs="仿宋" w:asciiTheme="minorEastAsia" w:hAnsiTheme="minorEastAsia" w:eastAsiaTheme="minorEastAsia"/>
          <w:kern w:val="2"/>
          <w:sz w:val="32"/>
          <w:szCs w:val="32"/>
        </w:rPr>
        <w:t>月</w:t>
      </w:r>
      <w:r>
        <w:rPr>
          <w:rFonts w:cs="仿宋" w:asciiTheme="minorEastAsia" w:hAnsiTheme="minorEastAsia" w:eastAsiaTheme="minorEastAsia"/>
          <w:kern w:val="2"/>
          <w:sz w:val="32"/>
          <w:szCs w:val="32"/>
        </w:rPr>
        <w:t>31</w:t>
      </w:r>
      <w:r>
        <w:rPr>
          <w:rFonts w:hint="eastAsia" w:cs="仿宋" w:asciiTheme="minorEastAsia" w:hAnsiTheme="minorEastAsia" w:eastAsiaTheme="minorEastAsia"/>
          <w:kern w:val="2"/>
          <w:sz w:val="32"/>
          <w:szCs w:val="32"/>
        </w:rPr>
        <w:t>日</w:t>
      </w:r>
      <w:r>
        <w:rPr>
          <w:rFonts w:cs="仿宋" w:asciiTheme="minorEastAsia" w:hAnsiTheme="minorEastAsia" w:eastAsiaTheme="minorEastAsia"/>
          <w:kern w:val="2"/>
          <w:sz w:val="32"/>
          <w:szCs w:val="32"/>
        </w:rPr>
        <w:t xml:space="preserve">  </w:t>
      </w:r>
      <w:r>
        <w:rPr>
          <w:rFonts w:ascii="仿宋" w:hAnsi="仿宋" w:eastAsia="仿宋"/>
          <w:sz w:val="32"/>
          <w:szCs w:val="32"/>
        </w:rPr>
        <w:t xml:space="preserve"> </w:t>
      </w:r>
    </w:p>
    <w:tbl>
      <w:tblPr>
        <w:tblStyle w:val="9"/>
        <w:tblW w:w="12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1"/>
        <w:gridCol w:w="2805"/>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711"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2805"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373"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711"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2805"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373" w:type="dxa"/>
            <w:vAlign w:val="center"/>
          </w:tcPr>
          <w:p>
            <w:pPr>
              <w:widowControl/>
              <w:jc w:val="center"/>
              <w:rPr>
                <w:rFonts w:ascii="仿宋" w:hAnsi="仿宋" w:eastAsia="仿宋"/>
                <w:sz w:val="32"/>
                <w:szCs w:val="32"/>
              </w:rPr>
            </w:pPr>
            <w:r>
              <w:rPr>
                <w:rFonts w:hint="eastAsia" w:ascii="仿宋" w:hAnsi="仿宋" w:eastAsia="仿宋"/>
                <w:sz w:val="32"/>
                <w:szCs w:val="32"/>
              </w:rPr>
              <w:t>383.75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11"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1</w:t>
            </w:r>
            <w:r>
              <w:rPr>
                <w:rFonts w:hint="eastAsia" w:cs="仿宋" w:asciiTheme="minorEastAsia" w:hAnsiTheme="minorEastAsia" w:eastAsiaTheme="minorEastAsia"/>
                <w:sz w:val="32"/>
                <w:szCs w:val="32"/>
              </w:rPr>
              <w:t>、房屋（平方米）</w:t>
            </w:r>
          </w:p>
        </w:tc>
        <w:tc>
          <w:tcPr>
            <w:tcW w:w="2805"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sz w:val="32"/>
                <w:szCs w:val="32"/>
              </w:rPr>
              <w:t>4500</w:t>
            </w:r>
          </w:p>
        </w:tc>
        <w:tc>
          <w:tcPr>
            <w:tcW w:w="3373"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sz w:val="32"/>
                <w:szCs w:val="32"/>
              </w:rPr>
              <w:t>164.38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1"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其中：办公用房（平方米）</w:t>
            </w:r>
          </w:p>
        </w:tc>
        <w:tc>
          <w:tcPr>
            <w:tcW w:w="2805"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4500</w:t>
            </w:r>
          </w:p>
        </w:tc>
        <w:tc>
          <w:tcPr>
            <w:tcW w:w="3373"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164.38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1"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w:t>
            </w:r>
            <w:r>
              <w:rPr>
                <w:rFonts w:hint="eastAsia" w:cs="仿宋" w:asciiTheme="minorEastAsia" w:hAnsiTheme="minorEastAsia" w:eastAsiaTheme="minorEastAsia"/>
                <w:sz w:val="32"/>
                <w:szCs w:val="32"/>
              </w:rPr>
              <w:t>、车辆（台、辆）</w:t>
            </w:r>
          </w:p>
        </w:tc>
        <w:tc>
          <w:tcPr>
            <w:tcW w:w="2805"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27</w:t>
            </w:r>
          </w:p>
        </w:tc>
        <w:tc>
          <w:tcPr>
            <w:tcW w:w="3373"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167.35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1"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3</w:t>
            </w:r>
            <w:r>
              <w:rPr>
                <w:rFonts w:hint="eastAsia" w:cs="仿宋" w:asciiTheme="minorEastAsia" w:hAnsiTheme="minorEastAsia" w:eastAsiaTheme="minorEastAsia"/>
                <w:sz w:val="32"/>
                <w:szCs w:val="32"/>
              </w:rPr>
              <w:t>、单价在</w:t>
            </w:r>
            <w:r>
              <w:rPr>
                <w:rFonts w:cs="仿宋" w:asciiTheme="minorEastAsia" w:hAnsiTheme="minorEastAsia" w:eastAsiaTheme="minorEastAsia"/>
                <w:sz w:val="32"/>
                <w:szCs w:val="32"/>
              </w:rPr>
              <w:t>20</w:t>
            </w:r>
            <w:r>
              <w:rPr>
                <w:rFonts w:hint="eastAsia" w:cs="仿宋" w:asciiTheme="minorEastAsia" w:hAnsiTheme="minorEastAsia" w:eastAsiaTheme="minorEastAsia"/>
                <w:sz w:val="32"/>
                <w:szCs w:val="32"/>
              </w:rPr>
              <w:t>万元以上的设备</w:t>
            </w:r>
          </w:p>
        </w:tc>
        <w:tc>
          <w:tcPr>
            <w:tcW w:w="2805"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w:t>
            </w:r>
          </w:p>
        </w:tc>
        <w:tc>
          <w:tcPr>
            <w:tcW w:w="3373"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1"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4</w:t>
            </w:r>
            <w:r>
              <w:rPr>
                <w:rFonts w:hint="eastAsia" w:cs="仿宋" w:asciiTheme="minorEastAsia" w:hAnsiTheme="minorEastAsia" w:eastAsiaTheme="minorEastAsia"/>
                <w:sz w:val="32"/>
                <w:szCs w:val="32"/>
              </w:rPr>
              <w:t>、其他固定资产</w:t>
            </w:r>
          </w:p>
        </w:tc>
        <w:tc>
          <w:tcPr>
            <w:tcW w:w="2805" w:type="dxa"/>
            <w:vAlign w:val="center"/>
          </w:tcPr>
          <w:p>
            <w:pPr>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w:t>
            </w:r>
          </w:p>
        </w:tc>
        <w:tc>
          <w:tcPr>
            <w:tcW w:w="3373"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52.02</w:t>
            </w:r>
          </w:p>
        </w:tc>
      </w:tr>
    </w:tbl>
    <w:p>
      <w:pPr>
        <w:ind w:firstLine="627" w:firstLineChars="196"/>
        <w:rPr>
          <w:rFonts w:ascii="仿宋" w:hAnsi="仿宋" w:eastAsia="仿宋" w:cs="仿宋_GB2312"/>
          <w:b/>
          <w:bCs/>
          <w:sz w:val="32"/>
          <w:szCs w:val="32"/>
        </w:rPr>
      </w:pPr>
      <w:r>
        <w:rPr>
          <w:rFonts w:hint="eastAsia" w:ascii="仿宋" w:hAnsi="仿宋" w:eastAsia="仿宋" w:cs="仿宋_GB2312"/>
          <w:b/>
          <w:bCs/>
          <w:sz w:val="32"/>
          <w:szCs w:val="32"/>
        </w:rPr>
        <w:t>八、专业名词解释</w:t>
      </w:r>
    </w:p>
    <w:p>
      <w:pPr>
        <w:ind w:firstLine="627" w:firstLineChars="196"/>
        <w:rPr>
          <w:rFonts w:cs="仿宋" w:asciiTheme="minorEastAsia" w:hAnsiTheme="minorEastAsia" w:eastAsiaTheme="minorEastAsia"/>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cs="仿宋" w:asciiTheme="minorEastAsia" w:hAnsiTheme="minorEastAsia" w:eastAsiaTheme="minorEastAsia"/>
          <w:sz w:val="32"/>
          <w:szCs w:val="32"/>
        </w:rPr>
        <w:t>县级财政当年拨付的资金。</w:t>
      </w:r>
    </w:p>
    <w:p>
      <w:pPr>
        <w:pStyle w:val="8"/>
        <w:ind w:firstLine="576" w:firstLineChars="180"/>
        <w:rPr>
          <w:rFonts w:cs="仿宋" w:asciiTheme="minorEastAsia" w:hAnsiTheme="minorEastAsia" w:eastAsiaTheme="minorEastAsia"/>
          <w:kern w:val="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cs="仿宋" w:asciiTheme="minorEastAsia" w:hAnsiTheme="minorEastAsia" w:eastAsiaTheme="minorEastAsia"/>
          <w:kern w:val="2"/>
          <w:sz w:val="32"/>
          <w:szCs w:val="32"/>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cs="仿宋" w:asciiTheme="minorEastAsia" w:hAnsiTheme="minorEastAsia" w:eastAsiaTheme="minorEastAsia"/>
          <w:kern w:val="2"/>
          <w:sz w:val="32"/>
          <w:szCs w:val="32"/>
        </w:rPr>
        <w:t>指为保障机构正常运转、完成日常工作任务而发生的人员支出和公用支出。</w:t>
      </w:r>
    </w:p>
    <w:p>
      <w:pPr>
        <w:pStyle w:val="8"/>
        <w:rPr>
          <w:rFonts w:cs="仿宋" w:asciiTheme="minorEastAsia" w:hAnsiTheme="minorEastAsia" w:eastAsiaTheme="minorEastAsia"/>
          <w:kern w:val="2"/>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w:t>
      </w:r>
      <w:r>
        <w:rPr>
          <w:rFonts w:hint="eastAsia" w:cs="仿宋" w:asciiTheme="minorEastAsia" w:hAnsiTheme="minorEastAsia" w:eastAsiaTheme="minorEastAsia"/>
          <w:kern w:val="2"/>
          <w:sz w:val="32"/>
          <w:szCs w:val="32"/>
        </w:rPr>
        <w:t>指在基本支出之外为完成特定行政任务和事业发展目标所发生的支出。</w:t>
      </w:r>
    </w:p>
    <w:p>
      <w:pPr>
        <w:pStyle w:val="8"/>
        <w:ind w:firstLine="640" w:firstLineChars="200"/>
        <w:rPr>
          <w:rFonts w:cs="仿宋" w:asciiTheme="minorEastAsia" w:hAnsiTheme="minorEastAsia" w:eastAsiaTheme="minorEastAsia"/>
          <w:kern w:val="2"/>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cs="仿宋" w:asciiTheme="minorEastAsia" w:hAnsiTheme="minorEastAsia" w:eastAsiaTheme="minorEastAsia"/>
          <w:kern w:val="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cs="仿宋" w:asciiTheme="minorEastAsia" w:hAnsiTheme="minorEastAsia" w:eastAsiaTheme="minorEastAsia"/>
          <w:kern w:val="2"/>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cs="仿宋" w:asciiTheme="minorEastAsia" w:hAnsiTheme="minorEastAsia" w:eastAsiaTheme="minorEastAsia"/>
          <w:kern w:val="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 w:hAnsi="仿宋" w:eastAsia="仿宋"/>
          <w:sz w:val="32"/>
          <w:szCs w:val="32"/>
        </w:rPr>
        <w:t xml:space="preserve">     </w:t>
      </w:r>
      <w:r>
        <w:rPr>
          <w:rFonts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rPr>
          <w:rFonts w:ascii="仿宋" w:hAnsi="仿宋" w:eastAsia="仿宋"/>
          <w:sz w:val="32"/>
          <w:szCs w:val="32"/>
        </w:rPr>
      </w:pPr>
      <w:r>
        <w:rPr>
          <w:rFonts w:ascii="仿宋" w:hAnsi="仿宋" w:eastAsia="仿宋" w:cs="黑体"/>
          <w:sz w:val="32"/>
          <w:szCs w:val="32"/>
        </w:rPr>
        <w:t xml:space="preserve"> </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我部门无</w:t>
      </w:r>
      <w:r>
        <w:rPr>
          <w:rFonts w:hint="eastAsia" w:cs="仿宋" w:asciiTheme="minorEastAsia" w:hAnsiTheme="minorEastAsia" w:eastAsiaTheme="minorEastAsia"/>
          <w:sz w:val="32"/>
          <w:szCs w:val="32"/>
          <w:lang w:val="en-US" w:eastAsia="zh-CN"/>
        </w:rPr>
        <w:t>其他需要说明的事项。</w:t>
      </w:r>
      <w:r>
        <w:rPr>
          <w:rFonts w:ascii="仿宋" w:hAnsi="仿宋" w:eastAsia="仿宋"/>
          <w:sz w:val="32"/>
          <w:szCs w:val="32"/>
        </w:rPr>
        <w:t xml:space="preserve">                                    </w:t>
      </w:r>
    </w:p>
    <w:p>
      <w:pPr>
        <w:jc w:val="center"/>
        <w:outlineLvl w:val="0"/>
        <w:rPr>
          <w:rFonts w:ascii="仿宋" w:hAnsi="仿宋" w:eastAsia="仿宋"/>
          <w:sz w:val="32"/>
          <w:szCs w:val="32"/>
          <w:lang w:eastAsia="zh-CN"/>
        </w:rPr>
      </w:pPr>
      <w:r>
        <w:rPr>
          <w:rFonts w:ascii="仿宋" w:hAnsi="仿宋" w:eastAsia="仿宋"/>
          <w:sz w:val="32"/>
          <w:szCs w:val="32"/>
        </w:rPr>
        <w:t xml:space="preserve">                                 </w:t>
      </w: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月</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日</w:t>
      </w:r>
    </w:p>
    <w:sectPr>
      <w:pgSz w:w="16839" w:h="11907" w:orient="landscape"/>
      <w:pgMar w:top="1021" w:right="1361" w:bottom="102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0F63E1D"/>
    <w:rsid w:val="04BE6DF2"/>
    <w:rsid w:val="054B4674"/>
    <w:rsid w:val="056E5640"/>
    <w:rsid w:val="07594133"/>
    <w:rsid w:val="07D514CD"/>
    <w:rsid w:val="08406CE4"/>
    <w:rsid w:val="0AEC3153"/>
    <w:rsid w:val="0E551324"/>
    <w:rsid w:val="12A70B26"/>
    <w:rsid w:val="13044B61"/>
    <w:rsid w:val="146A5814"/>
    <w:rsid w:val="15007F26"/>
    <w:rsid w:val="1D763DEC"/>
    <w:rsid w:val="1DC85012"/>
    <w:rsid w:val="1F001077"/>
    <w:rsid w:val="1F6D7F66"/>
    <w:rsid w:val="1FC41B50"/>
    <w:rsid w:val="201B3E66"/>
    <w:rsid w:val="20735A50"/>
    <w:rsid w:val="21723F5A"/>
    <w:rsid w:val="275F7B5D"/>
    <w:rsid w:val="276B78EF"/>
    <w:rsid w:val="290338D8"/>
    <w:rsid w:val="2939193D"/>
    <w:rsid w:val="2F837332"/>
    <w:rsid w:val="35156C7E"/>
    <w:rsid w:val="359E5BFF"/>
    <w:rsid w:val="37A147F9"/>
    <w:rsid w:val="37CF26CA"/>
    <w:rsid w:val="388702A4"/>
    <w:rsid w:val="3DFD29A6"/>
    <w:rsid w:val="42AC26E9"/>
    <w:rsid w:val="43157D27"/>
    <w:rsid w:val="43AD459C"/>
    <w:rsid w:val="46C2478C"/>
    <w:rsid w:val="48BA73C9"/>
    <w:rsid w:val="49C820BA"/>
    <w:rsid w:val="4A6E08DD"/>
    <w:rsid w:val="4DC40DEA"/>
    <w:rsid w:val="51D33150"/>
    <w:rsid w:val="528F0D53"/>
    <w:rsid w:val="548E2EB1"/>
    <w:rsid w:val="56A24F2A"/>
    <w:rsid w:val="5A00764E"/>
    <w:rsid w:val="5B01542B"/>
    <w:rsid w:val="5B217B9D"/>
    <w:rsid w:val="5DC24CD8"/>
    <w:rsid w:val="5F1F0576"/>
    <w:rsid w:val="5F5A413C"/>
    <w:rsid w:val="5F702B80"/>
    <w:rsid w:val="618868A7"/>
    <w:rsid w:val="62904314"/>
    <w:rsid w:val="6AAF0A00"/>
    <w:rsid w:val="6C7F08A6"/>
    <w:rsid w:val="6D325918"/>
    <w:rsid w:val="6D993532"/>
    <w:rsid w:val="6DB602F7"/>
    <w:rsid w:val="6FD738DA"/>
    <w:rsid w:val="70FA04FB"/>
    <w:rsid w:val="786F17CF"/>
    <w:rsid w:val="78A27DF6"/>
    <w:rsid w:val="7B114DBF"/>
    <w:rsid w:val="7D733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DD8D39B1-E032-4B64-9020-66CD65ABCD3B}">
  <ds:schemaRefs/>
</ds:datastoreItem>
</file>

<file path=customXml/itemProps15.xml><?xml version="1.0" encoding="utf-8"?>
<ds:datastoreItem xmlns:ds="http://schemas.openxmlformats.org/officeDocument/2006/customXml" ds:itemID="{6C8F0DDD-DA95-49D7-BEC9-54BED6023821}">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9E39FA8A-0D5E-4C72-88C2-A4A5C9D016A3}">
  <ds:schemaRefs/>
</ds:datastoreItem>
</file>

<file path=customXml/itemProps18.xml><?xml version="1.0" encoding="utf-8"?>
<ds:datastoreItem xmlns:ds="http://schemas.openxmlformats.org/officeDocument/2006/customXml" ds:itemID="{127F30A9-AC64-4000-970B-04BBBAF6782F}">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5EFC46A3-03BA-4ECF-B65E-51918400F753}">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989DA21E-0CDF-4E3D-84F6-1D172BF7F4B9}">
  <ds:schemaRefs/>
</ds:datastoreItem>
</file>

<file path=customXml/itemProps27.xml><?xml version="1.0" encoding="utf-8"?>
<ds:datastoreItem xmlns:ds="http://schemas.openxmlformats.org/officeDocument/2006/customXml" ds:itemID="{C66F43F9-0AB8-4241-BA67-D8AE60CF6C21}">
  <ds:schemaRefs/>
</ds:datastoreItem>
</file>

<file path=customXml/itemProps28.xml><?xml version="1.0" encoding="utf-8"?>
<ds:datastoreItem xmlns:ds="http://schemas.openxmlformats.org/officeDocument/2006/customXml" ds:itemID="{C486A553-0F69-4945-B340-E49BCA32411A}">
  <ds:schemaRefs/>
</ds:datastoreItem>
</file>

<file path=customXml/itemProps29.xml><?xml version="1.0" encoding="utf-8"?>
<ds:datastoreItem xmlns:ds="http://schemas.openxmlformats.org/officeDocument/2006/customXml" ds:itemID="{BC8B0B68-B399-4D6D-AE2B-284CCF1A5CB6}">
  <ds:schemaRefs/>
</ds:datastoreItem>
</file>

<file path=customXml/itemProps3.xml><?xml version="1.0" encoding="utf-8"?>
<ds:datastoreItem xmlns:ds="http://schemas.openxmlformats.org/officeDocument/2006/customXml" ds:itemID="{55A60376-5F1A-4B58-BE70-A0B8CD8AC393}">
  <ds:schemaRefs/>
</ds:datastoreItem>
</file>

<file path=customXml/itemProps30.xml><?xml version="1.0" encoding="utf-8"?>
<ds:datastoreItem xmlns:ds="http://schemas.openxmlformats.org/officeDocument/2006/customXml" ds:itemID="{C593EC27-B89C-46A8-9CF9-3B5AE2B23C20}">
  <ds:schemaRefs/>
</ds:datastoreItem>
</file>

<file path=customXml/itemProps31.xml><?xml version="1.0" encoding="utf-8"?>
<ds:datastoreItem xmlns:ds="http://schemas.openxmlformats.org/officeDocument/2006/customXml" ds:itemID="{1C4E702D-2594-4689-8404-84AFD7E73E52}">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526561F4-D429-4474-A75E-30A59CF88000}">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66CC41B6-D28D-4EED-B564-F0D3D013B8B1}">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B52E45D6-0F3C-4B21-B161-FA591631F8EB}">
  <ds:schemaRefs/>
</ds:datastoreItem>
</file>

<file path=customXml/itemProps38.xml><?xml version="1.0" encoding="utf-8"?>
<ds:datastoreItem xmlns:ds="http://schemas.openxmlformats.org/officeDocument/2006/customXml" ds:itemID="{D5DDAF8B-C90E-40EE-B940-CCD547411B81}">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FF40C868-CD10-4565-BD6F-28B55B247751}">
  <ds:schemaRefs/>
</ds:datastoreItem>
</file>

<file path=customXml/itemProps5.xml><?xml version="1.0" encoding="utf-8"?>
<ds:datastoreItem xmlns:ds="http://schemas.openxmlformats.org/officeDocument/2006/customXml" ds:itemID="{F2B0114A-1BF3-408C-A937-DBD594359DD7}">
  <ds:schemaRefs/>
</ds:datastoreItem>
</file>

<file path=customXml/itemProps6.xml><?xml version="1.0" encoding="utf-8"?>
<ds:datastoreItem xmlns:ds="http://schemas.openxmlformats.org/officeDocument/2006/customXml" ds:itemID="{BF249A3C-5046-4792-B1C7-86A45BD0F7B3}">
  <ds:schemaRefs/>
</ds:datastoreItem>
</file>

<file path=customXml/itemProps7.xml><?xml version="1.0" encoding="utf-8"?>
<ds:datastoreItem xmlns:ds="http://schemas.openxmlformats.org/officeDocument/2006/customXml" ds:itemID="{907DF196-29BA-4F64-A2E6-9B891D8DA970}">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8139</Words>
  <Characters>9957</Characters>
  <Lines>107</Lines>
  <Paragraphs>30</Paragraphs>
  <TotalTime>2</TotalTime>
  <ScaleCrop>false</ScaleCrop>
  <LinksUpToDate>false</LinksUpToDate>
  <CharactersWithSpaces>10406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2022-06-17T03:37:00Z</cp:lastPrinted>
  <dcterms:modified xsi:type="dcterms:W3CDTF">2024-06-07T07:17:57Z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