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9" w:name="_GoBack"/>
      <w:bookmarkEnd w:id="9"/>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年涞水</w:t>
      </w:r>
      <w:r>
        <w:rPr>
          <w:rFonts w:hint="eastAsia" w:ascii="黑体" w:hAnsi="黑体" w:eastAsia="黑体" w:cs="黑体"/>
          <w:b/>
          <w:color w:val="000000"/>
          <w:sz w:val="44"/>
          <w:lang w:eastAsia="zh-CN"/>
        </w:rPr>
        <w:t>县行政审批局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18</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27</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27</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27.43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15.18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16.71</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941"/>
        <w:gridCol w:w="941"/>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部门预算收入总表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ascii="方正小标宋_GBK" w:hAnsi="方正小标宋_GBK" w:eastAsia="方正小标宋_GBK" w:cs="方正小标宋_GBK"/>
          <w:b/>
          <w:color w:val="000000"/>
          <w:sz w:val="36"/>
        </w:rPr>
        <w:t>部门预算支出总表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wordWrap w:val="0"/>
              <w:ind w:left="-254" w:leftChars="-106"/>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val="en-US" w:eastAsia="zh-CN"/>
              </w:rPr>
              <w:t>4</w:t>
            </w:r>
            <w:r>
              <w:rPr>
                <w:rFonts w:hint="eastAsia" w:ascii="宋体" w:hAnsi="宋体" w:eastAsia="宋体" w:cs="宋体"/>
                <w:color w:val="000000"/>
                <w:sz w:val="22"/>
                <w:szCs w:val="22"/>
                <w:lang w:eastAsia="zh-CN"/>
              </w:rPr>
              <w:t xml:space="preserve"> </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979"/>
        <w:gridCol w:w="3764"/>
        <w:gridCol w:w="941"/>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部门预算财政拨款收支总表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一、一般公共服务支出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1170.00</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二、外交支出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三、国防支出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四、公共安全支出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五、教育支出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六、科学技术支出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27.43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15.18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16.71</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941"/>
        <w:gridCol w:w="857"/>
        <w:gridCol w:w="1213"/>
        <w:gridCol w:w="2096"/>
        <w:gridCol w:w="2096"/>
      </w:tblGrid>
      <w:tr>
        <w:tblPrEx>
          <w:tblCellMar>
            <w:top w:w="0" w:type="dxa"/>
            <w:left w:w="108" w:type="dxa"/>
            <w:bottom w:w="0" w:type="dxa"/>
            <w:right w:w="108" w:type="dxa"/>
          </w:tblCellMar>
        </w:tblPrEx>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5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w:t>
      </w:r>
      <w:r>
        <w:rPr>
          <w:rFonts w:hint="eastAsia" w:ascii="仿宋" w:hAnsi="仿宋" w:eastAsia="仿宋"/>
          <w:color w:val="000000"/>
          <w:sz w:val="32"/>
          <w:szCs w:val="32"/>
          <w:lang w:val="en-US" w:eastAsia="zh-CN"/>
        </w:rPr>
        <w:t>4</w:t>
      </w:r>
      <w:r>
        <w:rPr>
          <w:rFonts w:ascii="仿宋" w:hAnsi="仿宋" w:eastAsia="仿宋"/>
          <w:color w:val="000000"/>
          <w:sz w:val="32"/>
          <w:szCs w:val="32"/>
        </w:rPr>
        <w:t>年部门预算公开如下：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部门职责：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w:t>
      </w:r>
      <w:r>
        <w:rPr>
          <w:rFonts w:hint="eastAsia" w:ascii="仿宋" w:hAnsi="仿宋" w:eastAsia="仿宋" w:cs="仿宋"/>
          <w:sz w:val="32"/>
          <w:szCs w:val="40"/>
        </w:rPr>
        <w:t>中央、国务院和省委、省政府、市委、市政府、县委、县政府“放管服”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w:t>
      </w:r>
      <w:r>
        <w:rPr>
          <w:rFonts w:hint="eastAsia" w:ascii="仿宋" w:hAnsi="仿宋" w:eastAsia="仿宋" w:cs="仿宋"/>
          <w:sz w:val="32"/>
          <w:szCs w:val="40"/>
          <w:lang w:eastAsia="zh-CN"/>
        </w:rPr>
        <w:t>蓄水</w:t>
      </w:r>
      <w:r>
        <w:rPr>
          <w:rFonts w:hint="eastAsia" w:ascii="仿宋" w:hAnsi="仿宋" w:eastAsia="仿宋" w:cs="仿宋"/>
          <w:sz w:val="32"/>
          <w:szCs w:val="40"/>
        </w:rPr>
        <w:t>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我部门编制人数27个，行政编制数18 个，事业编制数9个。实有在职人员 4</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人，退休人员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部门机构设置情况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r>
        <w:tblPrEx>
          <w:tblCellMar>
            <w:top w:w="0" w:type="dxa"/>
            <w:left w:w="108" w:type="dxa"/>
            <w:bottom w:w="0" w:type="dxa"/>
            <w:right w:w="108" w:type="dxa"/>
          </w:tblCellMar>
        </w:tblPrEx>
        <w:trPr>
          <w:trHeight w:val="176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涞水县行政服务中心（公共资源交易中心）</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事业</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cs="仿宋_GB2312" w:asciiTheme="majorEastAsia" w:hAnsiTheme="majorEastAsia" w:eastAsiaTheme="majorEastAsia"/>
                <w:szCs w:val="21"/>
              </w:rPr>
            </w:pPr>
            <w:r>
              <w:rPr>
                <w:rFonts w:hint="eastAsia" w:cs="仿宋_GB2312" w:asciiTheme="majorEastAsia" w:hAnsiTheme="majorEastAsia" w:eastAsiaTheme="majorEastAsia"/>
                <w:szCs w:val="21"/>
              </w:rPr>
              <w:t>股级</w:t>
            </w:r>
          </w:p>
        </w:tc>
        <w:tc>
          <w:tcPr>
            <w:tcW w:w="2257" w:type="dxa"/>
            <w:tcBorders>
              <w:top w:val="single" w:color="000000" w:sz="4" w:space="0"/>
              <w:left w:val="single" w:color="000000" w:sz="4" w:space="0"/>
              <w:bottom w:val="single" w:color="000000" w:sz="4" w:space="0"/>
              <w:right w:val="single" w:color="000000" w:sz="4" w:space="0"/>
            </w:tcBorders>
            <w:vAlign w:val="center"/>
          </w:tcPr>
          <w:p>
            <w:pPr>
              <w:ind w:left="480" w:leftChars="50" w:hanging="360" w:hangingChars="150"/>
              <w:jc w:val="center"/>
              <w:rPr>
                <w:rFonts w:cs="仿宋_GB2312" w:asciiTheme="majorEastAsia" w:hAnsiTheme="majorEastAsia" w:eastAsiaTheme="majorEastAsia"/>
                <w:szCs w:val="21"/>
              </w:rPr>
            </w:pPr>
            <w:r>
              <w:rPr>
                <w:rFonts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二、部门预算安排的总体情况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本部门当年全部收入，202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1229.32</w:t>
      </w:r>
      <w:r>
        <w:rPr>
          <w:rFonts w:hint="eastAsia" w:ascii="仿宋" w:hAnsi="仿宋" w:eastAsia="仿宋" w:cs="仿宋"/>
          <w:color w:val="auto"/>
          <w:sz w:val="32"/>
          <w:szCs w:val="32"/>
          <w:highlight w:val="none"/>
        </w:rPr>
        <w:t>万元，其中：基本支出</w:t>
      </w:r>
      <w:r>
        <w:rPr>
          <w:rFonts w:hint="eastAsia" w:ascii="仿宋" w:hAnsi="仿宋" w:eastAsia="仿宋" w:cs="仿宋"/>
          <w:color w:val="auto"/>
          <w:sz w:val="32"/>
          <w:szCs w:val="32"/>
          <w:highlight w:val="none"/>
          <w:lang w:val="en-US" w:eastAsia="zh-CN"/>
        </w:rPr>
        <w:t>564.49</w:t>
      </w:r>
      <w:r>
        <w:rPr>
          <w:rFonts w:hint="eastAsia" w:ascii="仿宋" w:hAnsi="仿宋" w:eastAsia="仿宋" w:cs="仿宋"/>
          <w:color w:val="auto"/>
          <w:sz w:val="32"/>
          <w:szCs w:val="32"/>
          <w:highlight w:val="none"/>
        </w:rPr>
        <w:t>万元，包含人员经费支出</w:t>
      </w:r>
      <w:r>
        <w:rPr>
          <w:rFonts w:hint="eastAsia"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39.96</w:t>
      </w:r>
      <w:r>
        <w:rPr>
          <w:rFonts w:hint="eastAsia" w:ascii="仿宋" w:hAnsi="仿宋" w:eastAsia="仿宋" w:cs="仿宋"/>
          <w:color w:val="auto"/>
          <w:sz w:val="32"/>
          <w:szCs w:val="32"/>
          <w:highlight w:val="none"/>
        </w:rPr>
        <w:t>万元、日常公用经费支出</w:t>
      </w:r>
      <w:r>
        <w:rPr>
          <w:rFonts w:hint="eastAsia" w:ascii="仿宋" w:hAnsi="仿宋" w:eastAsia="仿宋" w:cs="仿宋"/>
          <w:color w:val="auto"/>
          <w:sz w:val="32"/>
          <w:szCs w:val="32"/>
          <w:highlight w:val="none"/>
          <w:lang w:val="en-US" w:eastAsia="zh-CN"/>
        </w:rPr>
        <w:t>124.53</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664.83</w:t>
      </w:r>
      <w:r>
        <w:rPr>
          <w:rFonts w:hint="eastAsia" w:ascii="仿宋" w:hAnsi="仿宋" w:eastAsia="仿宋" w:cs="仿宋"/>
          <w:color w:val="auto"/>
          <w:sz w:val="32"/>
          <w:szCs w:val="32"/>
          <w:highlight w:val="none"/>
        </w:rPr>
        <w:t>万元，上缴上级支出0万元，经营支出0万元，对附属单位补助支出0万元。</w:t>
      </w:r>
    </w:p>
    <w:p>
      <w:pPr>
        <w:snapToGrid w:val="0"/>
        <w:spacing w:line="560"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1229.32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增加527.89</w:t>
      </w:r>
      <w:r>
        <w:rPr>
          <w:rFonts w:hint="eastAsia" w:ascii="仿宋" w:hAnsi="仿宋" w:eastAsia="仿宋" w:cs="仿宋"/>
          <w:sz w:val="32"/>
          <w:szCs w:val="32"/>
        </w:rPr>
        <w:t>万元。其中</w:t>
      </w:r>
      <w:r>
        <w:rPr>
          <w:rFonts w:hint="eastAsia" w:ascii="仿宋" w:hAnsi="仿宋" w:eastAsia="仿宋" w:cs="仿宋"/>
          <w:sz w:val="32"/>
          <w:szCs w:val="32"/>
          <w:lang w:val="en-US" w:eastAsia="zh-CN"/>
        </w:rPr>
        <w:t>项目</w:t>
      </w:r>
      <w:r>
        <w:rPr>
          <w:rFonts w:hint="eastAsia" w:ascii="仿宋" w:hAnsi="仿宋" w:eastAsia="仿宋" w:cs="仿宋"/>
          <w:sz w:val="32"/>
          <w:szCs w:val="32"/>
        </w:rPr>
        <w:t>支出增加</w:t>
      </w:r>
      <w:r>
        <w:rPr>
          <w:rFonts w:hint="eastAsia" w:ascii="仿宋" w:hAnsi="仿宋" w:eastAsia="仿宋" w:cs="仿宋"/>
          <w:sz w:val="32"/>
          <w:szCs w:val="32"/>
          <w:lang w:val="en-US" w:eastAsia="zh-CN"/>
        </w:rPr>
        <w:t>490.75</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我单位23年6月搬迁至便民服务中心，增加了办公面积，相应房租、电费等经费增加</w:t>
      </w:r>
      <w:r>
        <w:rPr>
          <w:rFonts w:hint="eastAsia" w:ascii="仿宋" w:hAnsi="仿宋" w:eastAsia="仿宋" w:cs="仿宋"/>
          <w:sz w:val="32"/>
          <w:szCs w:val="32"/>
        </w:rPr>
        <w:t>。</w:t>
      </w:r>
      <w:r>
        <w:rPr>
          <w:rFonts w:hint="eastAsia" w:ascii="仿宋" w:hAnsi="仿宋" w:eastAsia="仿宋" w:cs="仿宋"/>
          <w:sz w:val="32"/>
          <w:szCs w:val="32"/>
          <w:lang w:val="en-US"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37.14</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工资、保险基数均有所增涨，所以基本支出增加</w:t>
      </w:r>
      <w:r>
        <w:rPr>
          <w:rFonts w:hint="eastAsia" w:ascii="仿宋" w:hAnsi="仿宋" w:eastAsia="仿宋" w:cs="仿宋"/>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我单位部门安排财政拨款支出主要用于保障审批机构正常运转、完成日常工作任务。日常公用经费</w:t>
      </w:r>
      <w:r>
        <w:rPr>
          <w:rFonts w:hint="eastAsia" w:ascii="仿宋" w:hAnsi="仿宋" w:eastAsia="仿宋" w:cs="仿宋"/>
          <w:sz w:val="32"/>
          <w:szCs w:val="32"/>
          <w:lang w:val="en-US" w:eastAsia="zh-CN"/>
        </w:rPr>
        <w:t>124.53</w:t>
      </w:r>
      <w:r>
        <w:rPr>
          <w:rFonts w:hint="eastAsia" w:ascii="仿宋" w:hAnsi="仿宋" w:eastAsia="仿宋" w:cs="仿宋"/>
          <w:sz w:val="32"/>
          <w:szCs w:val="32"/>
        </w:rPr>
        <w:t>万元，其中：办公费</w:t>
      </w:r>
      <w:r>
        <w:rPr>
          <w:rFonts w:hint="eastAsia" w:ascii="仿宋" w:hAnsi="仿宋" w:eastAsia="仿宋" w:cs="仿宋"/>
          <w:sz w:val="32"/>
          <w:szCs w:val="32"/>
          <w:lang w:eastAsia="zh-CN"/>
        </w:rPr>
        <w:t>9.4</w:t>
      </w:r>
      <w:r>
        <w:rPr>
          <w:rFonts w:hint="eastAsia" w:ascii="仿宋" w:hAnsi="仿宋" w:eastAsia="仿宋" w:cs="仿宋"/>
          <w:sz w:val="32"/>
          <w:szCs w:val="32"/>
        </w:rPr>
        <w:t>万元，邮电费0.18万元，取暖费</w:t>
      </w:r>
      <w:r>
        <w:rPr>
          <w:rFonts w:hint="eastAsia" w:ascii="仿宋" w:hAnsi="仿宋" w:eastAsia="仿宋" w:cs="仿宋"/>
          <w:sz w:val="32"/>
          <w:szCs w:val="32"/>
          <w:lang w:val="en-US" w:eastAsia="zh-CN"/>
        </w:rPr>
        <w:t>22.92</w:t>
      </w:r>
      <w:r>
        <w:rPr>
          <w:rFonts w:hint="eastAsia" w:ascii="仿宋" w:hAnsi="仿宋" w:eastAsia="仿宋" w:cs="仿宋"/>
          <w:sz w:val="32"/>
          <w:szCs w:val="32"/>
        </w:rPr>
        <w:t>万元，差旅费</w:t>
      </w:r>
      <w:r>
        <w:rPr>
          <w:rFonts w:hint="eastAsia" w:ascii="仿宋" w:hAnsi="仿宋" w:eastAsia="仿宋" w:cs="仿宋"/>
          <w:sz w:val="32"/>
          <w:szCs w:val="32"/>
          <w:lang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万元，劳务费</w:t>
      </w:r>
      <w:r>
        <w:rPr>
          <w:rFonts w:hint="eastAsia" w:ascii="仿宋" w:hAnsi="仿宋" w:eastAsia="仿宋" w:cs="仿宋"/>
          <w:sz w:val="32"/>
          <w:szCs w:val="32"/>
          <w:lang w:eastAsia="zh-CN"/>
        </w:rPr>
        <w:t>6</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w:t>
      </w:r>
      <w:r>
        <w:rPr>
          <w:rFonts w:hint="eastAsia" w:ascii="仿宋" w:hAnsi="仿宋" w:eastAsia="仿宋" w:cs="仿宋"/>
          <w:sz w:val="32"/>
          <w:szCs w:val="32"/>
        </w:rPr>
        <w:t>万元，公务用车维护费2万元，公务交通补贴</w:t>
      </w:r>
      <w:r>
        <w:rPr>
          <w:rFonts w:hint="eastAsia" w:ascii="仿宋" w:hAnsi="仿宋" w:eastAsia="仿宋" w:cs="仿宋"/>
          <w:sz w:val="32"/>
          <w:szCs w:val="32"/>
          <w:lang w:eastAsia="zh-CN"/>
        </w:rPr>
        <w:t>9.06</w:t>
      </w:r>
      <w:r>
        <w:rPr>
          <w:rFonts w:hint="eastAsia" w:ascii="仿宋" w:hAnsi="仿宋" w:eastAsia="仿宋" w:cs="仿宋"/>
          <w:sz w:val="32"/>
          <w:szCs w:val="32"/>
        </w:rPr>
        <w:t>万元，工会经费</w:t>
      </w:r>
      <w:r>
        <w:rPr>
          <w:rFonts w:hint="eastAsia" w:ascii="仿宋" w:hAnsi="仿宋" w:eastAsia="仿宋" w:cs="仿宋"/>
          <w:sz w:val="32"/>
          <w:szCs w:val="32"/>
          <w:lang w:eastAsia="zh-CN"/>
        </w:rPr>
        <w:t>3.5</w:t>
      </w:r>
      <w:r>
        <w:rPr>
          <w:rFonts w:hint="eastAsia" w:ascii="仿宋" w:hAnsi="仿宋" w:eastAsia="仿宋" w:cs="仿宋"/>
          <w:sz w:val="32"/>
          <w:szCs w:val="32"/>
          <w:lang w:val="en-US" w:eastAsia="zh-CN"/>
        </w:rPr>
        <w:t>8</w:t>
      </w:r>
      <w:r>
        <w:rPr>
          <w:rFonts w:hint="eastAsia" w:ascii="仿宋" w:hAnsi="仿宋" w:eastAsia="仿宋" w:cs="仿宋"/>
          <w:sz w:val="32"/>
          <w:szCs w:val="32"/>
        </w:rPr>
        <w:t>万元，职工福利费</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34</w:t>
      </w:r>
      <w:r>
        <w:rPr>
          <w:rFonts w:hint="eastAsia" w:ascii="仿宋" w:hAnsi="仿宋" w:eastAsia="仿宋" w:cs="仿宋"/>
          <w:sz w:val="32"/>
          <w:szCs w:val="32"/>
        </w:rPr>
        <w:t>万元。</w:t>
      </w:r>
    </w:p>
    <w:p>
      <w:pPr>
        <w:spacing w:line="560" w:lineRule="exact"/>
        <w:ind w:firstLine="640" w:firstLineChars="200"/>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9"/>
        <w:tblpPr w:leftFromText="180" w:rightFromText="180" w:vertAnchor="text" w:horzAnchor="page" w:tblpXSpec="center" w:tblpY="66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3</w:t>
            </w:r>
            <w:r>
              <w:rPr>
                <w:rFonts w:hint="eastAsia" w:ascii="方正书宋_GBK" w:hAnsi="方正书宋_GBK" w:eastAsia="方正书宋_GBK" w:cs="仿宋"/>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4</w:t>
            </w:r>
            <w:r>
              <w:rPr>
                <w:rFonts w:hint="eastAsia" w:ascii="方正书宋_GBK" w:hAnsi="方正书宋_GBK" w:eastAsia="方正书宋_GBK" w:cs="仿宋"/>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0.5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响应政策，</w:t>
            </w:r>
            <w:r>
              <w:rPr>
                <w:rFonts w:hint="eastAsia" w:ascii="方正书宋_GBK" w:hAnsi="方正书宋_GBK" w:eastAsia="方正书宋_GBK" w:cs="仿宋"/>
                <w:szCs w:val="21"/>
                <w:lang w:eastAsia="zh-CN"/>
              </w:rPr>
              <w:t>厉行</w:t>
            </w:r>
            <w:r>
              <w:rPr>
                <w:rFonts w:hint="eastAsia" w:ascii="方正书宋_GBK" w:hAnsi="方正书宋_GBK" w:eastAsia="方正书宋_GBK" w:cs="仿宋"/>
                <w:szCs w:val="21"/>
              </w:rPr>
              <w:t>节约</w:t>
            </w:r>
          </w:p>
        </w:tc>
      </w:tr>
      <w:tr>
        <w:tblPrEx>
          <w:tblCellMar>
            <w:top w:w="0" w:type="dxa"/>
            <w:left w:w="108" w:type="dxa"/>
            <w:bottom w:w="0" w:type="dxa"/>
            <w:right w:w="108" w:type="dxa"/>
          </w:tblCellMar>
        </w:tblPrEx>
        <w:trPr>
          <w:trHeight w:val="44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2.5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2.5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 “三公”经费支出</w:t>
      </w:r>
      <w:r>
        <w:rPr>
          <w:rFonts w:hint="eastAsia" w:ascii="仿宋" w:hAnsi="仿宋" w:eastAsia="仿宋" w:cs="仿宋"/>
          <w:sz w:val="32"/>
          <w:szCs w:val="32"/>
          <w:lang w:eastAsia="zh-CN"/>
        </w:rPr>
        <w:t>2.5</w:t>
      </w:r>
      <w:r>
        <w:rPr>
          <w:rFonts w:hint="eastAsia" w:ascii="仿宋" w:hAnsi="仿宋" w:eastAsia="仿宋" w:cs="仿宋"/>
          <w:sz w:val="32"/>
          <w:szCs w:val="32"/>
        </w:rPr>
        <w:t>万元，其中：公车运行维护费2万元，公务接待费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年预算安排“三公”经费支出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万元，其中：公务用车购置经费0万元，公车运行维护费2万元，公务接待费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万元，因公出国出境0万元，</w:t>
      </w:r>
      <w:r>
        <w:rPr>
          <w:rFonts w:hint="eastAsia" w:ascii="仿宋" w:hAnsi="仿宋" w:eastAsia="仿宋" w:cs="仿宋"/>
          <w:sz w:val="32"/>
          <w:szCs w:val="32"/>
          <w:lang w:val="en-US" w:eastAsia="zh-CN"/>
        </w:rPr>
        <w:t>2024年</w:t>
      </w: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w:t>
      </w:r>
      <w:r>
        <w:rPr>
          <w:rFonts w:hint="eastAsia" w:ascii="仿宋" w:hAnsi="仿宋" w:eastAsia="仿宋" w:cs="仿宋"/>
          <w:sz w:val="32"/>
          <w:szCs w:val="32"/>
          <w:lang w:val="en-US" w:eastAsia="zh-CN"/>
        </w:rPr>
        <w:t>持平。</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第一部分部门整体绩效目标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spacing w:before="10" w:after="10"/>
        <w:ind w:firstLine="960" w:firstLineChars="300"/>
        <w:outlineLvl w:val="1"/>
        <w:rPr>
          <w:rFonts w:ascii="仿宋" w:hAnsi="仿宋" w:eastAsia="仿宋"/>
          <w:sz w:val="32"/>
          <w:szCs w:val="32"/>
        </w:rPr>
      </w:pPr>
      <w:r>
        <w:rPr>
          <w:rFonts w:ascii="仿宋" w:hAnsi="仿宋" w:eastAsia="仿宋" w:cs="方正黑体_GBK"/>
          <w:color w:val="000000"/>
          <w:sz w:val="32"/>
          <w:szCs w:val="32"/>
        </w:rPr>
        <w:t>总体绩效目标</w:t>
      </w:r>
    </w:p>
    <w:p>
      <w:pPr>
        <w:pStyle w:val="28"/>
        <w:ind w:firstLine="960" w:firstLineChars="300"/>
        <w:rPr>
          <w:rFonts w:ascii="仿宋" w:hAnsi="仿宋" w:eastAsia="仿宋"/>
          <w:sz w:val="32"/>
          <w:szCs w:val="32"/>
        </w:rPr>
      </w:pPr>
      <w:r>
        <w:rPr>
          <w:rFonts w:ascii="仿宋" w:hAnsi="仿宋" w:eastAsia="仿宋"/>
          <w:sz w:val="32"/>
          <w:szCs w:val="32"/>
        </w:rPr>
        <w:t>深化“放管服”改革，持续优化营商环境；</w:t>
      </w:r>
    </w:p>
    <w:p>
      <w:pPr>
        <w:pStyle w:val="28"/>
        <w:ind w:firstLine="960" w:firstLineChars="300"/>
        <w:rPr>
          <w:rFonts w:ascii="仿宋" w:hAnsi="仿宋" w:eastAsia="仿宋"/>
          <w:sz w:val="32"/>
          <w:szCs w:val="32"/>
        </w:rPr>
      </w:pPr>
      <w:r>
        <w:rPr>
          <w:rFonts w:ascii="仿宋" w:hAnsi="仿宋" w:eastAsia="仿宋"/>
          <w:sz w:val="32"/>
          <w:szCs w:val="32"/>
        </w:rPr>
        <w:t>做好市场主体增量工作；</w:t>
      </w:r>
    </w:p>
    <w:p>
      <w:pPr>
        <w:pStyle w:val="28"/>
        <w:ind w:firstLine="960" w:firstLineChars="300"/>
        <w:rPr>
          <w:rFonts w:ascii="仿宋" w:hAnsi="仿宋" w:eastAsia="仿宋"/>
          <w:sz w:val="32"/>
          <w:szCs w:val="32"/>
        </w:rPr>
      </w:pPr>
      <w:r>
        <w:rPr>
          <w:rFonts w:ascii="仿宋" w:hAnsi="仿宋" w:eastAsia="仿宋"/>
          <w:sz w:val="32"/>
          <w:szCs w:val="32"/>
        </w:rPr>
        <w:t>提升“互联网+政务服务”工作水平；</w:t>
      </w:r>
    </w:p>
    <w:p>
      <w:pPr>
        <w:pStyle w:val="28"/>
        <w:ind w:firstLine="960" w:firstLineChars="300"/>
        <w:rPr>
          <w:rFonts w:ascii="仿宋" w:hAnsi="仿宋" w:eastAsia="仿宋"/>
          <w:sz w:val="32"/>
          <w:szCs w:val="32"/>
        </w:rPr>
      </w:pPr>
      <w:r>
        <w:rPr>
          <w:rFonts w:ascii="仿宋" w:hAnsi="仿宋" w:eastAsia="仿宋"/>
          <w:sz w:val="32"/>
          <w:szCs w:val="32"/>
        </w:rPr>
        <w:t>加强基层服务建设工作；</w:t>
      </w:r>
    </w:p>
    <w:p>
      <w:pPr>
        <w:pStyle w:val="28"/>
        <w:ind w:firstLine="960" w:firstLineChars="300"/>
        <w:rPr>
          <w:rFonts w:ascii="仿宋" w:hAnsi="仿宋" w:eastAsia="仿宋"/>
          <w:sz w:val="32"/>
          <w:szCs w:val="32"/>
        </w:rPr>
      </w:pPr>
      <w:r>
        <w:rPr>
          <w:rFonts w:ascii="仿宋" w:hAnsi="仿宋" w:eastAsia="仿宋"/>
          <w:sz w:val="32"/>
          <w:szCs w:val="32"/>
        </w:rPr>
        <w:t>进一步规范依法行政；</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ind w:firstLine="640" w:firstLineChars="200"/>
        <w:rPr>
          <w:rFonts w:ascii="仿宋" w:hAnsi="仿宋" w:eastAsia="仿宋"/>
          <w:sz w:val="32"/>
          <w:szCs w:val="32"/>
        </w:rPr>
      </w:pPr>
      <w:r>
        <w:rPr>
          <w:rFonts w:ascii="仿宋" w:hAnsi="仿宋" w:eastAsia="仿宋"/>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29"/>
        <w:rPr>
          <w:rFonts w:ascii="仿宋" w:hAnsi="仿宋" w:eastAsia="仿宋"/>
          <w:sz w:val="32"/>
          <w:szCs w:val="32"/>
          <w:lang w:eastAsia="zh-CN"/>
        </w:rPr>
      </w:pPr>
      <w:r>
        <w:rPr>
          <w:rFonts w:ascii="仿宋" w:hAnsi="仿宋" w:eastAsia="仿宋"/>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29"/>
        <w:rPr>
          <w:rFonts w:ascii="仿宋" w:hAnsi="仿宋" w:eastAsia="仿宋"/>
          <w:sz w:val="32"/>
          <w:szCs w:val="32"/>
          <w:lang w:eastAsia="zh-CN"/>
        </w:rPr>
      </w:pPr>
      <w:r>
        <w:rPr>
          <w:rFonts w:ascii="仿宋" w:hAnsi="仿宋" w:eastAsia="仿宋"/>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29"/>
        <w:rPr>
          <w:rFonts w:ascii="仿宋" w:hAnsi="仿宋" w:eastAsia="仿宋"/>
          <w:sz w:val="32"/>
          <w:szCs w:val="32"/>
        </w:rPr>
      </w:pPr>
      <w:r>
        <w:rPr>
          <w:rFonts w:ascii="仿宋" w:hAnsi="仿宋" w:eastAsia="仿宋"/>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29"/>
        <w:rPr>
          <w:rFonts w:ascii="仿宋" w:hAnsi="仿宋" w:eastAsia="仿宋"/>
          <w:sz w:val="32"/>
          <w:szCs w:val="32"/>
        </w:rPr>
      </w:pPr>
      <w:r>
        <w:rPr>
          <w:rFonts w:ascii="仿宋" w:hAnsi="仿宋" w:eastAsia="仿宋"/>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 w:name="_Toc_4_4_0000000004"/>
      <w:r>
        <w:rPr>
          <w:rFonts w:ascii="方正仿宋_GBK" w:hAnsi="方正仿宋_GBK" w:eastAsia="方正仿宋_GBK" w:cs="方正仿宋_GBK"/>
          <w:color w:val="000000"/>
          <w:sz w:val="28"/>
        </w:rPr>
        <w:t>1.“放管服”改革经费绩效目标表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13062324P00790010002K</w:t>
            </w:r>
          </w:p>
        </w:tc>
        <w:tc>
          <w:tcPr>
            <w:tcW w:w="1587" w:type="dxa"/>
            <w:vAlign w:val="center"/>
          </w:tcPr>
          <w:p>
            <w:pPr>
              <w:pStyle w:val="17"/>
            </w:pPr>
            <w:r>
              <w:t>项目名称</w:t>
            </w:r>
          </w:p>
        </w:tc>
        <w:tc>
          <w:tcPr>
            <w:tcW w:w="4422" w:type="dxa"/>
            <w:gridSpan w:val="3"/>
            <w:vAlign w:val="center"/>
          </w:tcPr>
          <w:p>
            <w:pPr>
              <w:pStyle w:val="19"/>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59.50</w:t>
            </w:r>
          </w:p>
        </w:tc>
        <w:tc>
          <w:tcPr>
            <w:tcW w:w="1587" w:type="dxa"/>
            <w:vAlign w:val="center"/>
          </w:tcPr>
          <w:p>
            <w:pPr>
              <w:pStyle w:val="17"/>
            </w:pPr>
            <w:r>
              <w:t>其中：财政    资金</w:t>
            </w:r>
          </w:p>
        </w:tc>
        <w:tc>
          <w:tcPr>
            <w:tcW w:w="1304" w:type="dxa"/>
            <w:vAlign w:val="center"/>
          </w:tcPr>
          <w:p>
            <w:pPr>
              <w:pStyle w:val="19"/>
            </w:pPr>
            <w:r>
              <w:t>59.50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14.88</w:t>
            </w:r>
          </w:p>
        </w:tc>
        <w:tc>
          <w:tcPr>
            <w:tcW w:w="1587" w:type="dxa"/>
            <w:vAlign w:val="center"/>
          </w:tcPr>
          <w:p>
            <w:pPr>
              <w:pStyle w:val="20"/>
            </w:pPr>
            <w:r>
              <w:t>14.88</w:t>
            </w:r>
          </w:p>
        </w:tc>
        <w:tc>
          <w:tcPr>
            <w:tcW w:w="1304" w:type="dxa"/>
            <w:vAlign w:val="center"/>
          </w:tcPr>
          <w:p>
            <w:pPr>
              <w:pStyle w:val="20"/>
            </w:pPr>
            <w:r>
              <w:t>14.88</w:t>
            </w:r>
          </w:p>
        </w:tc>
        <w:tc>
          <w:tcPr>
            <w:tcW w:w="3118" w:type="dxa"/>
            <w:gridSpan w:val="2"/>
            <w:vAlign w:val="center"/>
          </w:tcPr>
          <w:p>
            <w:pPr>
              <w:pStyle w:val="20"/>
            </w:pPr>
            <w:r>
              <w:t>14.88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实际完成金额</w:t>
            </w:r>
          </w:p>
        </w:tc>
        <w:tc>
          <w:tcPr>
            <w:tcW w:w="2891" w:type="dxa"/>
            <w:vAlign w:val="center"/>
          </w:tcPr>
          <w:p>
            <w:pPr>
              <w:pStyle w:val="19"/>
            </w:pPr>
            <w:r>
              <w:t>放管服项目实际完成金额</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≥90百分比</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按时间进度支付资金</w:t>
            </w:r>
          </w:p>
        </w:tc>
        <w:tc>
          <w:tcPr>
            <w:tcW w:w="2891" w:type="dxa"/>
            <w:vAlign w:val="center"/>
          </w:tcPr>
          <w:p>
            <w:pPr>
              <w:pStyle w:val="19"/>
            </w:pPr>
            <w:r>
              <w:t>按时间进度支付资金</w:t>
            </w:r>
          </w:p>
        </w:tc>
        <w:tc>
          <w:tcPr>
            <w:tcW w:w="1276" w:type="dxa"/>
            <w:vAlign w:val="center"/>
          </w:tcPr>
          <w:p>
            <w:pPr>
              <w:pStyle w:val="19"/>
            </w:pPr>
            <w:r>
              <w:t>≥90百分比</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不超预算，控制在预算内</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 w:name="_Toc_4_4_0000000005"/>
      <w:r>
        <w:rPr>
          <w:rFonts w:ascii="方正仿宋_GBK" w:hAnsi="方正仿宋_GBK" w:eastAsia="方正仿宋_GBK" w:cs="方正仿宋_GBK"/>
          <w:color w:val="000000"/>
          <w:sz w:val="28"/>
        </w:rPr>
        <w:t>2.便民中心服务经费绩效目标表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13062324P00899610050D</w:t>
            </w:r>
          </w:p>
        </w:tc>
        <w:tc>
          <w:tcPr>
            <w:tcW w:w="1587" w:type="dxa"/>
            <w:vAlign w:val="center"/>
          </w:tcPr>
          <w:p>
            <w:pPr>
              <w:pStyle w:val="17"/>
            </w:pPr>
            <w:r>
              <w:t>项目名称</w:t>
            </w:r>
          </w:p>
        </w:tc>
        <w:tc>
          <w:tcPr>
            <w:tcW w:w="4422" w:type="dxa"/>
            <w:gridSpan w:val="3"/>
            <w:vAlign w:val="center"/>
          </w:tcPr>
          <w:p>
            <w:pPr>
              <w:pStyle w:val="19"/>
            </w:pPr>
            <w:r>
              <w:t>便民中心服务经费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519.08</w:t>
            </w:r>
          </w:p>
        </w:tc>
        <w:tc>
          <w:tcPr>
            <w:tcW w:w="1587" w:type="dxa"/>
            <w:vAlign w:val="center"/>
          </w:tcPr>
          <w:p>
            <w:pPr>
              <w:pStyle w:val="17"/>
            </w:pPr>
            <w:r>
              <w:t>其中：财政    资金</w:t>
            </w:r>
          </w:p>
        </w:tc>
        <w:tc>
          <w:tcPr>
            <w:tcW w:w="1304" w:type="dxa"/>
            <w:vAlign w:val="center"/>
          </w:tcPr>
          <w:p>
            <w:pPr>
              <w:pStyle w:val="19"/>
            </w:pPr>
            <w:r>
              <w:t>519.08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支付便民中心费用 保障中心工作正常运转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430.00</w:t>
            </w:r>
          </w:p>
        </w:tc>
        <w:tc>
          <w:tcPr>
            <w:tcW w:w="1587" w:type="dxa"/>
            <w:vAlign w:val="center"/>
          </w:tcPr>
          <w:p>
            <w:pPr>
              <w:pStyle w:val="20"/>
            </w:pPr>
            <w:r>
              <w:t>25.00</w:t>
            </w:r>
          </w:p>
        </w:tc>
        <w:tc>
          <w:tcPr>
            <w:tcW w:w="1304" w:type="dxa"/>
            <w:vAlign w:val="center"/>
          </w:tcPr>
          <w:p>
            <w:pPr>
              <w:pStyle w:val="20"/>
            </w:pPr>
            <w:r>
              <w:t>32.04</w:t>
            </w:r>
          </w:p>
        </w:tc>
        <w:tc>
          <w:tcPr>
            <w:tcW w:w="3118" w:type="dxa"/>
            <w:gridSpan w:val="2"/>
            <w:vAlign w:val="center"/>
          </w:tcPr>
          <w:p>
            <w:pPr>
              <w:pStyle w:val="20"/>
            </w:pPr>
            <w:r>
              <w:t>32.04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1.保障中心工作正常运转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租赁面积</w:t>
            </w:r>
          </w:p>
        </w:tc>
        <w:tc>
          <w:tcPr>
            <w:tcW w:w="2891" w:type="dxa"/>
            <w:vAlign w:val="center"/>
          </w:tcPr>
          <w:p>
            <w:pPr>
              <w:pStyle w:val="19"/>
            </w:pPr>
            <w:r>
              <w:t>达到预计的租赁面积</w:t>
            </w:r>
          </w:p>
        </w:tc>
        <w:tc>
          <w:tcPr>
            <w:tcW w:w="1276" w:type="dxa"/>
            <w:vAlign w:val="center"/>
          </w:tcPr>
          <w:p>
            <w:pPr>
              <w:pStyle w:val="19"/>
            </w:pPr>
            <w:r>
              <w:t>8815.14平米</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查验中心购买设备完好率</w:t>
            </w:r>
          </w:p>
        </w:tc>
        <w:tc>
          <w:tcPr>
            <w:tcW w:w="2891" w:type="dxa"/>
            <w:vAlign w:val="center"/>
          </w:tcPr>
          <w:p>
            <w:pPr>
              <w:pStyle w:val="19"/>
            </w:pPr>
            <w:r>
              <w:t>查验中心购买设备完好率</w:t>
            </w:r>
          </w:p>
        </w:tc>
        <w:tc>
          <w:tcPr>
            <w:tcW w:w="1276" w:type="dxa"/>
            <w:vAlign w:val="center"/>
          </w:tcPr>
          <w:p>
            <w:pPr>
              <w:pStyle w:val="19"/>
            </w:pPr>
            <w:r>
              <w:t>≥90%</w:t>
            </w:r>
          </w:p>
        </w:tc>
        <w:tc>
          <w:tcPr>
            <w:tcW w:w="1843" w:type="dxa"/>
            <w:vAlign w:val="center"/>
          </w:tcPr>
          <w:p>
            <w:pPr>
              <w:pStyle w:val="19"/>
            </w:pPr>
            <w:r>
              <w:t>相关文件依据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在资金充足情况下 按时支付中心各项费用</w:t>
            </w:r>
          </w:p>
        </w:tc>
        <w:tc>
          <w:tcPr>
            <w:tcW w:w="1276" w:type="dxa"/>
            <w:vAlign w:val="center"/>
          </w:tcPr>
          <w:p>
            <w:pPr>
              <w:pStyle w:val="19"/>
            </w:pPr>
            <w:r>
              <w:t>按时支付</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519.08万元</w:t>
            </w:r>
          </w:p>
        </w:tc>
        <w:tc>
          <w:tcPr>
            <w:tcW w:w="1843" w:type="dxa"/>
            <w:vAlign w:val="center"/>
          </w:tcPr>
          <w:p>
            <w:pPr>
              <w:pStyle w:val="19"/>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提升服务能力</w:t>
            </w:r>
          </w:p>
        </w:tc>
        <w:tc>
          <w:tcPr>
            <w:tcW w:w="2891" w:type="dxa"/>
            <w:vAlign w:val="center"/>
          </w:tcPr>
          <w:p>
            <w:pPr>
              <w:pStyle w:val="19"/>
            </w:pPr>
            <w:r>
              <w:t>提升服务能力</w:t>
            </w:r>
          </w:p>
        </w:tc>
        <w:tc>
          <w:tcPr>
            <w:tcW w:w="1276" w:type="dxa"/>
            <w:vAlign w:val="center"/>
          </w:tcPr>
          <w:p>
            <w:pPr>
              <w:pStyle w:val="19"/>
            </w:pPr>
            <w:r>
              <w:t>≥90%</w:t>
            </w:r>
          </w:p>
        </w:tc>
        <w:tc>
          <w:tcPr>
            <w:tcW w:w="1843" w:type="dxa"/>
            <w:vAlign w:val="center"/>
          </w:tcPr>
          <w:p>
            <w:pPr>
              <w:pStyle w:val="19"/>
            </w:pPr>
            <w:r>
              <w:t>整合资源 提高服务效能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服务对象满意度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7" w:name="_Toc_4_4_0000000006"/>
      <w:r>
        <w:rPr>
          <w:rFonts w:ascii="方正仿宋_GBK" w:hAnsi="方正仿宋_GBK" w:eastAsia="方正仿宋_GBK" w:cs="方正仿宋_GBK"/>
          <w:color w:val="000000"/>
          <w:sz w:val="28"/>
        </w:rPr>
        <w:t>3.行政审批大厅运行经费绩效目标表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13062324P00789310003H</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22.76</w:t>
            </w:r>
          </w:p>
        </w:tc>
        <w:tc>
          <w:tcPr>
            <w:tcW w:w="1587" w:type="dxa"/>
            <w:vAlign w:val="center"/>
          </w:tcPr>
          <w:p>
            <w:pPr>
              <w:pStyle w:val="17"/>
            </w:pPr>
            <w:r>
              <w:t>其中：财政    资金</w:t>
            </w:r>
          </w:p>
        </w:tc>
        <w:tc>
          <w:tcPr>
            <w:tcW w:w="1304" w:type="dxa"/>
            <w:vAlign w:val="center"/>
          </w:tcPr>
          <w:p>
            <w:pPr>
              <w:pStyle w:val="19"/>
            </w:pPr>
            <w:r>
              <w:t>22.76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5.69</w:t>
            </w:r>
          </w:p>
        </w:tc>
        <w:tc>
          <w:tcPr>
            <w:tcW w:w="1587" w:type="dxa"/>
            <w:vAlign w:val="center"/>
          </w:tcPr>
          <w:p>
            <w:pPr>
              <w:pStyle w:val="20"/>
            </w:pPr>
            <w:r>
              <w:t>5.69</w:t>
            </w:r>
          </w:p>
        </w:tc>
        <w:tc>
          <w:tcPr>
            <w:tcW w:w="1304" w:type="dxa"/>
            <w:vAlign w:val="center"/>
          </w:tcPr>
          <w:p>
            <w:pPr>
              <w:pStyle w:val="20"/>
            </w:pPr>
            <w:r>
              <w:t>5.69</w:t>
            </w:r>
          </w:p>
        </w:tc>
        <w:tc>
          <w:tcPr>
            <w:tcW w:w="3118" w:type="dxa"/>
            <w:gridSpan w:val="2"/>
            <w:vAlign w:val="center"/>
          </w:tcPr>
          <w:p>
            <w:pPr>
              <w:pStyle w:val="20"/>
            </w:pPr>
            <w:r>
              <w:t>5.69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1.根据工作需要，切实做好机关管理工作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审批大厅经费运行工作完成率(%)</w:t>
            </w:r>
          </w:p>
        </w:tc>
        <w:tc>
          <w:tcPr>
            <w:tcW w:w="2891" w:type="dxa"/>
            <w:vAlign w:val="center"/>
          </w:tcPr>
          <w:p>
            <w:pPr>
              <w:pStyle w:val="19"/>
            </w:pPr>
            <w:r>
              <w:t>审批大厅经费运行工作完成率(%)</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保障运行经费正常运转</w:t>
            </w:r>
          </w:p>
        </w:tc>
        <w:tc>
          <w:tcPr>
            <w:tcW w:w="2891" w:type="dxa"/>
            <w:vAlign w:val="center"/>
          </w:tcPr>
          <w:p>
            <w:pPr>
              <w:pStyle w:val="19"/>
            </w:pPr>
            <w:r>
              <w:t>保障运行经费正常运转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按时支付资金</w:t>
            </w:r>
          </w:p>
        </w:tc>
        <w:tc>
          <w:tcPr>
            <w:tcW w:w="2891" w:type="dxa"/>
            <w:vAlign w:val="center"/>
          </w:tcPr>
          <w:p>
            <w:pPr>
              <w:pStyle w:val="19"/>
            </w:pPr>
            <w:r>
              <w:t>按时支付资金</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22.76万元</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合同等</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8" w:name="_Toc_4_4_0000000007"/>
      <w:r>
        <w:rPr>
          <w:rFonts w:ascii="方正仿宋_GBK" w:hAnsi="方正仿宋_GBK" w:eastAsia="方正仿宋_GBK" w:cs="方正仿宋_GBK"/>
          <w:color w:val="000000"/>
          <w:sz w:val="28"/>
        </w:rPr>
        <w:t>4.印章刻制费用绩效目标表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13062324P00789010003G</w:t>
            </w:r>
          </w:p>
        </w:tc>
        <w:tc>
          <w:tcPr>
            <w:tcW w:w="1587" w:type="dxa"/>
            <w:vAlign w:val="center"/>
          </w:tcPr>
          <w:p>
            <w:pPr>
              <w:pStyle w:val="17"/>
            </w:pPr>
            <w:r>
              <w:t>项目名称</w:t>
            </w:r>
          </w:p>
        </w:tc>
        <w:tc>
          <w:tcPr>
            <w:tcW w:w="4422" w:type="dxa"/>
            <w:gridSpan w:val="3"/>
            <w:vAlign w:val="center"/>
          </w:tcPr>
          <w:p>
            <w:pPr>
              <w:pStyle w:val="19"/>
            </w:pPr>
            <w:r>
              <w:t>印章刻制费用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63.49</w:t>
            </w:r>
          </w:p>
        </w:tc>
        <w:tc>
          <w:tcPr>
            <w:tcW w:w="1587" w:type="dxa"/>
            <w:vAlign w:val="center"/>
          </w:tcPr>
          <w:p>
            <w:pPr>
              <w:pStyle w:val="17"/>
            </w:pPr>
            <w:r>
              <w:t>其中：财政    资金</w:t>
            </w:r>
          </w:p>
        </w:tc>
        <w:tc>
          <w:tcPr>
            <w:tcW w:w="1304" w:type="dxa"/>
            <w:vAlign w:val="center"/>
          </w:tcPr>
          <w:p>
            <w:pPr>
              <w:pStyle w:val="19"/>
            </w:pPr>
            <w:r>
              <w:t>63.49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印章刻制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15.87</w:t>
            </w:r>
          </w:p>
        </w:tc>
        <w:tc>
          <w:tcPr>
            <w:tcW w:w="1587" w:type="dxa"/>
            <w:vAlign w:val="center"/>
          </w:tcPr>
          <w:p>
            <w:pPr>
              <w:pStyle w:val="20"/>
            </w:pPr>
            <w:r>
              <w:t>15.87</w:t>
            </w:r>
          </w:p>
        </w:tc>
        <w:tc>
          <w:tcPr>
            <w:tcW w:w="1304" w:type="dxa"/>
            <w:vAlign w:val="center"/>
          </w:tcPr>
          <w:p>
            <w:pPr>
              <w:pStyle w:val="20"/>
            </w:pPr>
            <w:r>
              <w:t>15.87</w:t>
            </w:r>
          </w:p>
        </w:tc>
        <w:tc>
          <w:tcPr>
            <w:tcW w:w="3118" w:type="dxa"/>
            <w:gridSpan w:val="2"/>
            <w:vAlign w:val="center"/>
          </w:tcPr>
          <w:p>
            <w:pPr>
              <w:pStyle w:val="20"/>
            </w:pPr>
            <w:r>
              <w:t>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1.免费为企业刻制印章，节约企业成本，创造更好的营商环境。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刻章数量</w:t>
            </w:r>
          </w:p>
        </w:tc>
        <w:tc>
          <w:tcPr>
            <w:tcW w:w="2891" w:type="dxa"/>
            <w:vAlign w:val="center"/>
          </w:tcPr>
          <w:p>
            <w:pPr>
              <w:pStyle w:val="19"/>
            </w:pPr>
            <w:r>
              <w:t>印章刻制量</w:t>
            </w:r>
          </w:p>
        </w:tc>
        <w:tc>
          <w:tcPr>
            <w:tcW w:w="1276" w:type="dxa"/>
            <w:vAlign w:val="center"/>
          </w:tcPr>
          <w:p>
            <w:pPr>
              <w:pStyle w:val="19"/>
            </w:pPr>
            <w:r>
              <w:t>&gt;1200套</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印章刻制合格率</w:t>
            </w:r>
          </w:p>
        </w:tc>
        <w:tc>
          <w:tcPr>
            <w:tcW w:w="2891" w:type="dxa"/>
            <w:vAlign w:val="center"/>
          </w:tcPr>
          <w:p>
            <w:pPr>
              <w:pStyle w:val="19"/>
            </w:pPr>
            <w:r>
              <w:t>印章刻制合格率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w:t>
            </w:r>
          </w:p>
        </w:tc>
        <w:tc>
          <w:tcPr>
            <w:tcW w:w="2891" w:type="dxa"/>
            <w:vAlign w:val="center"/>
          </w:tcPr>
          <w:p>
            <w:pPr>
              <w:pStyle w:val="19"/>
            </w:pPr>
            <w:r>
              <w:t>不超预算</w:t>
            </w:r>
          </w:p>
        </w:tc>
        <w:tc>
          <w:tcPr>
            <w:tcW w:w="1276" w:type="dxa"/>
            <w:vAlign w:val="center"/>
          </w:tcPr>
          <w:p>
            <w:pPr>
              <w:pStyle w:val="19"/>
            </w:pPr>
            <w:r>
              <w:t>不超预算成本</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节约成本</w:t>
            </w:r>
          </w:p>
        </w:tc>
        <w:tc>
          <w:tcPr>
            <w:tcW w:w="2891" w:type="dxa"/>
            <w:vAlign w:val="center"/>
          </w:tcPr>
          <w:p>
            <w:pPr>
              <w:pStyle w:val="19"/>
            </w:pPr>
            <w:r>
              <w:t>节约了企业成本</w:t>
            </w:r>
          </w:p>
        </w:tc>
        <w:tc>
          <w:tcPr>
            <w:tcW w:w="1276" w:type="dxa"/>
            <w:vAlign w:val="center"/>
          </w:tcPr>
          <w:p>
            <w:pPr>
              <w:pStyle w:val="19"/>
            </w:pPr>
            <w:r>
              <w:t>节约了企业成本，创造了更好地营商环境</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企业满意度</w:t>
            </w:r>
          </w:p>
        </w:tc>
        <w:tc>
          <w:tcPr>
            <w:tcW w:w="2891" w:type="dxa"/>
            <w:vAlign w:val="center"/>
          </w:tcPr>
          <w:p>
            <w:pPr>
              <w:pStyle w:val="19"/>
            </w:pPr>
            <w:r>
              <w:t>企业满意度</w:t>
            </w:r>
          </w:p>
        </w:tc>
        <w:tc>
          <w:tcPr>
            <w:tcW w:w="1276" w:type="dxa"/>
            <w:vAlign w:val="center"/>
          </w:tcPr>
          <w:p>
            <w:pPr>
              <w:pStyle w:val="19"/>
            </w:pPr>
            <w:r>
              <w:t>≥90百分比</w:t>
            </w:r>
          </w:p>
        </w:tc>
        <w:tc>
          <w:tcPr>
            <w:tcW w:w="1843" w:type="dxa"/>
            <w:vAlign w:val="center"/>
          </w:tcPr>
          <w:p>
            <w:pPr>
              <w:pStyle w:val="19"/>
            </w:pPr>
            <w:r>
              <w:t>满意度调查</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spacing w:line="560" w:lineRule="exact"/>
        <w:ind w:firstLine="480" w:firstLineChars="150"/>
        <w:rPr>
          <w:rFonts w:ascii="黑体" w:hAnsi="黑体" w:eastAsia="黑体" w:cs="仿宋_GB2312"/>
          <w:sz w:val="32"/>
          <w:szCs w:val="32"/>
          <w:highlight w:val="none"/>
        </w:rPr>
      </w:pPr>
      <w:r>
        <w:rPr>
          <w:rFonts w:hint="eastAsia" w:ascii="黑体" w:hAnsi="黑体" w:eastAsia="黑体" w:cs="仿宋_GB2312"/>
          <w:bCs/>
          <w:sz w:val="32"/>
          <w:szCs w:val="32"/>
          <w:highlight w:val="none"/>
        </w:rPr>
        <w:t>六、政府采购预算情况</w:t>
      </w:r>
    </w:p>
    <w:p>
      <w:pPr>
        <w:spacing w:line="520" w:lineRule="exact"/>
        <w:ind w:firstLine="480" w:firstLineChars="150"/>
        <w:rPr>
          <w:rFonts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年我部门安排政府采购服务类预算项目</w:t>
      </w:r>
      <w:r>
        <w:rPr>
          <w:rFonts w:hint="eastAsia" w:ascii="仿宋" w:hAnsi="仿宋" w:eastAsia="仿宋"/>
          <w:sz w:val="32"/>
          <w:szCs w:val="32"/>
          <w:highlight w:val="none"/>
          <w:lang w:val="en-US" w:eastAsia="zh-CN"/>
        </w:rPr>
        <w:t>476.04</w:t>
      </w:r>
      <w:r>
        <w:rPr>
          <w:rFonts w:hint="eastAsia" w:ascii="仿宋" w:hAnsi="仿宋" w:eastAsia="仿宋"/>
          <w:sz w:val="32"/>
          <w:szCs w:val="32"/>
          <w:highlight w:val="none"/>
        </w:rPr>
        <w:t>万元，为印章刻制项目</w:t>
      </w:r>
      <w:r>
        <w:rPr>
          <w:rFonts w:hint="eastAsia" w:ascii="仿宋" w:hAnsi="仿宋" w:eastAsia="仿宋"/>
          <w:sz w:val="32"/>
          <w:szCs w:val="32"/>
          <w:highlight w:val="none"/>
          <w:lang w:eastAsia="zh-CN"/>
        </w:rPr>
        <w:t>和便民中心服务经费项目</w:t>
      </w:r>
      <w:r>
        <w:rPr>
          <w:rFonts w:hint="eastAsia" w:ascii="仿宋" w:hAnsi="仿宋" w:eastAsia="仿宋"/>
          <w:sz w:val="32"/>
          <w:szCs w:val="32"/>
          <w:highlight w:val="none"/>
        </w:rPr>
        <w:t>。</w:t>
      </w:r>
    </w:p>
    <w:p>
      <w:pPr>
        <w:spacing w:line="520" w:lineRule="exact"/>
        <w:ind w:firstLine="960" w:firstLineChars="300"/>
        <w:rPr>
          <w:rFonts w:ascii="仿宋" w:hAnsi="仿宋" w:eastAsia="仿宋"/>
          <w:sz w:val="32"/>
          <w:szCs w:val="32"/>
          <w:highlight w:val="none"/>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915"/>
        <w:gridCol w:w="586"/>
        <w:gridCol w:w="550"/>
        <w:gridCol w:w="550"/>
        <w:gridCol w:w="614"/>
        <w:gridCol w:w="696"/>
        <w:gridCol w:w="696"/>
        <w:gridCol w:w="941"/>
        <w:gridCol w:w="451"/>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687" w:type="dxa"/>
            <w:gridSpan w:val="2"/>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政府采购项目来源</w:t>
            </w:r>
          </w:p>
        </w:tc>
        <w:tc>
          <w:tcPr>
            <w:tcW w:w="58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采购物品名称</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数量单位</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w:t>
            </w:r>
          </w:p>
        </w:tc>
        <w:tc>
          <w:tcPr>
            <w:tcW w:w="614"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单价</w:t>
            </w:r>
          </w:p>
        </w:tc>
        <w:tc>
          <w:tcPr>
            <w:tcW w:w="4853" w:type="dxa"/>
            <w:gridSpan w:val="7"/>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项目名称</w:t>
            </w:r>
          </w:p>
        </w:tc>
        <w:tc>
          <w:tcPr>
            <w:tcW w:w="915"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预算资金</w:t>
            </w: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总计</w:t>
            </w:r>
          </w:p>
        </w:tc>
        <w:tc>
          <w:tcPr>
            <w:tcW w:w="3489" w:type="dxa"/>
            <w:gridSpan w:val="5"/>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highlight w:val="none"/>
              </w:rPr>
            </w:pPr>
          </w:p>
        </w:tc>
        <w:tc>
          <w:tcPr>
            <w:tcW w:w="915" w:type="dxa"/>
            <w:vMerge w:val="continue"/>
            <w:vAlign w:val="center"/>
          </w:tcPr>
          <w:p>
            <w:pPr>
              <w:spacing w:line="300" w:lineRule="exact"/>
              <w:outlineLvl w:val="0"/>
              <w:rPr>
                <w:rFonts w:asciiTheme="majorEastAsia" w:hAnsiTheme="majorEastAsia" w:eastAsiaTheme="majorEastAsia"/>
                <w:szCs w:val="21"/>
                <w:highlight w:val="none"/>
              </w:rPr>
            </w:pP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合计</w:t>
            </w:r>
          </w:p>
        </w:tc>
        <w:tc>
          <w:tcPr>
            <w:tcW w:w="94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一般公共预算拨款</w:t>
            </w:r>
          </w:p>
        </w:tc>
        <w:tc>
          <w:tcPr>
            <w:tcW w:w="45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基金预算拨款</w:t>
            </w:r>
          </w:p>
        </w:tc>
        <w:tc>
          <w:tcPr>
            <w:tcW w:w="699"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财政专户核拨</w:t>
            </w:r>
          </w:p>
        </w:tc>
        <w:tc>
          <w:tcPr>
            <w:tcW w:w="70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其他来源收入</w:t>
            </w:r>
          </w:p>
        </w:tc>
        <w:tc>
          <w:tcPr>
            <w:tcW w:w="668" w:type="dxa"/>
            <w:vMerge w:val="continue"/>
            <w:vAlign w:val="center"/>
          </w:tcPr>
          <w:p>
            <w:pPr>
              <w:spacing w:line="300" w:lineRule="exact"/>
              <w:outlineLvl w:val="0"/>
              <w:rPr>
                <w:rFonts w:asciiTheme="majorEastAsia" w:hAnsiTheme="majorEastAsia" w:eastAsiaTheme="majorEastAsia"/>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　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b/>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b/>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小计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bl>
    <w:p>
      <w:pPr>
        <w:spacing w:line="560" w:lineRule="exact"/>
        <w:ind w:firstLine="630"/>
        <w:rPr>
          <w:rFonts w:ascii="黑体" w:hAnsi="黑体" w:eastAsia="黑体" w:cs="仿宋_GB2312"/>
          <w:sz w:val="32"/>
          <w:szCs w:val="32"/>
          <w:highlight w:val="none"/>
        </w:rPr>
      </w:pPr>
      <w:r>
        <w:rPr>
          <w:rFonts w:hint="eastAsia" w:ascii="黑体" w:hAnsi="黑体" w:eastAsia="黑体" w:cs="仿宋_GB2312"/>
          <w:bCs/>
          <w:sz w:val="32"/>
          <w:szCs w:val="32"/>
          <w:highlight w:val="none"/>
        </w:rPr>
        <w:t>七、国有资产信息情况</w:t>
      </w:r>
    </w:p>
    <w:p>
      <w:pPr>
        <w:spacing w:line="560" w:lineRule="exact"/>
        <w:ind w:firstLine="561"/>
        <w:rPr>
          <w:rFonts w:ascii="仿宋" w:hAnsi="仿宋" w:eastAsia="仿宋" w:cs="仿宋_GB2312"/>
          <w:sz w:val="32"/>
          <w:szCs w:val="32"/>
          <w:highlight w:val="none"/>
        </w:rPr>
      </w:pP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年末审批局固定资产总额</w:t>
      </w:r>
      <w:r>
        <w:rPr>
          <w:rFonts w:hint="eastAsia" w:ascii="仿宋" w:hAnsi="仿宋" w:eastAsia="仿宋" w:cs="仿宋_GB2312"/>
          <w:sz w:val="32"/>
          <w:szCs w:val="32"/>
          <w:highlight w:val="none"/>
          <w:lang w:val="en-US" w:eastAsia="zh-CN"/>
        </w:rPr>
        <w:t>556.43</w:t>
      </w:r>
      <w:r>
        <w:rPr>
          <w:rFonts w:hint="eastAsia" w:ascii="仿宋" w:hAnsi="仿宋" w:eastAsia="仿宋" w:cs="仿宋_GB2312"/>
          <w:sz w:val="32"/>
          <w:szCs w:val="32"/>
          <w:highlight w:val="none"/>
        </w:rPr>
        <w:t>万元，</w:t>
      </w:r>
      <w:r>
        <w:rPr>
          <w:rFonts w:hint="eastAsia" w:ascii="仿宋" w:hAnsi="仿宋" w:eastAsia="仿宋" w:cs="宋体"/>
          <w:sz w:val="32"/>
          <w:szCs w:val="32"/>
          <w:highlight w:val="none"/>
        </w:rPr>
        <w:t xml:space="preserve">主要包括房屋 0平方米价值 0 万元（办公用房系租用），车辆 1辆价值 </w:t>
      </w:r>
      <w:r>
        <w:rPr>
          <w:rFonts w:hint="eastAsia" w:ascii="仿宋" w:hAnsi="仿宋" w:eastAsia="仿宋" w:cs="宋体"/>
          <w:sz w:val="32"/>
          <w:szCs w:val="32"/>
          <w:highlight w:val="none"/>
          <w:lang w:eastAsia="zh-CN"/>
        </w:rPr>
        <w:t>11.7</w:t>
      </w:r>
      <w:r>
        <w:rPr>
          <w:rFonts w:hint="eastAsia" w:ascii="仿宋" w:hAnsi="仿宋" w:eastAsia="仿宋" w:cs="宋体"/>
          <w:sz w:val="32"/>
          <w:szCs w:val="32"/>
          <w:highlight w:val="none"/>
        </w:rPr>
        <w:t>万元，及其他固定资产</w:t>
      </w:r>
      <w:r>
        <w:rPr>
          <w:rFonts w:hint="eastAsia" w:ascii="仿宋" w:hAnsi="仿宋" w:eastAsia="仿宋" w:cs="宋体"/>
          <w:sz w:val="32"/>
          <w:szCs w:val="32"/>
          <w:highlight w:val="none"/>
          <w:lang w:val="en-US" w:eastAsia="zh-CN"/>
        </w:rPr>
        <w:t>556.43</w:t>
      </w:r>
      <w:r>
        <w:rPr>
          <w:rFonts w:hint="eastAsia" w:ascii="仿宋" w:hAnsi="仿宋" w:eastAsia="仿宋" w:cs="宋体"/>
          <w:sz w:val="32"/>
          <w:szCs w:val="32"/>
          <w:highlight w:val="none"/>
        </w:rPr>
        <w:t xml:space="preserve">万元。 </w:t>
      </w:r>
    </w:p>
    <w:p>
      <w:pPr>
        <w:ind w:firstLine="640"/>
        <w:jc w:val="right"/>
        <w:rPr>
          <w:rFonts w:ascii="仿宋" w:hAnsi="仿宋" w:eastAsia="仿宋" w:cs="仿宋_GB2312"/>
          <w:sz w:val="30"/>
          <w:szCs w:val="30"/>
          <w:highlight w:val="none"/>
        </w:rPr>
      </w:pPr>
    </w:p>
    <w:tbl>
      <w:tblPr>
        <w:tblStyle w:val="10"/>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highlight w:val="none"/>
                <w:lang w:eastAsia="zh-CN"/>
              </w:rPr>
            </w:pPr>
            <w:r>
              <w:rPr>
                <w:rFonts w:hint="eastAsia" w:cs="仿宋_GB2312" w:asciiTheme="majorEastAsia" w:hAnsiTheme="majorEastAsia" w:eastAsiaTheme="majorEastAsia"/>
                <w:b/>
                <w:bCs/>
                <w:szCs w:val="21"/>
                <w:highlight w:val="none"/>
              </w:rPr>
              <w:t>项   目</w:t>
            </w:r>
          </w:p>
        </w:tc>
        <w:tc>
          <w:tcPr>
            <w:tcW w:w="1290"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数量</w:t>
            </w:r>
          </w:p>
        </w:tc>
        <w:tc>
          <w:tcPr>
            <w:tcW w:w="2791"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固定资产总额</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1、房屋(平方米）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其中：办公用房(平方米）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2、车辆（台、辆）</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w:t>
            </w:r>
          </w:p>
        </w:tc>
        <w:tc>
          <w:tcPr>
            <w:tcW w:w="2791" w:type="dxa"/>
          </w:tcPr>
          <w:p>
            <w:pPr>
              <w:jc w:val="center"/>
              <w:rPr>
                <w:rFonts w:cs="仿宋_GB2312" w:asciiTheme="majorEastAsia" w:hAnsiTheme="majorEastAsia" w:eastAsiaTheme="majorEastAsia"/>
                <w:szCs w:val="21"/>
                <w:highlight w:val="none"/>
                <w:lang w:eastAsia="zh-CN"/>
              </w:rPr>
            </w:pPr>
            <w:r>
              <w:rPr>
                <w:rFonts w:hint="eastAsia" w:cs="仿宋_GB2312" w:asciiTheme="majorEastAsia" w:hAnsiTheme="majorEastAsia" w:eastAsiaTheme="majorEastAsia"/>
                <w:szCs w:val="21"/>
                <w:highlight w:val="none"/>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3、单价在20万元以上的设备</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4、其他固定资产</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bl>
    <w:p>
      <w:pPr>
        <w:spacing w:line="560" w:lineRule="exact"/>
        <w:ind w:firstLine="640"/>
        <w:jc w:val="center"/>
        <w:rPr>
          <w:rFonts w:ascii="黑体" w:hAnsi="黑体" w:eastAsia="黑体" w:cs="黑体"/>
          <w:bCs/>
          <w:sz w:val="32"/>
          <w:szCs w:val="32"/>
          <w:highlight w:val="none"/>
        </w:rPr>
      </w:pPr>
      <w:r>
        <w:rPr>
          <w:rFonts w:hint="eastAsia" w:cs="仿宋_GB2312" w:asciiTheme="majorEastAsia" w:hAnsiTheme="majorEastAsia" w:eastAsiaTheme="majorEastAsia"/>
          <w:szCs w:val="21"/>
          <w:highlight w:val="none"/>
          <w:lang w:eastAsia="zh-CN"/>
        </w:rPr>
        <w:t xml:space="preserve">                        </w:t>
      </w:r>
      <w:r>
        <w:rPr>
          <w:rFonts w:hint="eastAsia" w:cs="仿宋_GB2312" w:asciiTheme="majorEastAsia" w:hAnsiTheme="majorEastAsia" w:eastAsiaTheme="majorEastAsia"/>
          <w:szCs w:val="21"/>
          <w:highlight w:val="none"/>
        </w:rPr>
        <w:t>截止时间：202</w:t>
      </w:r>
      <w:r>
        <w:rPr>
          <w:rFonts w:hint="eastAsia" w:cs="仿宋_GB2312" w:asciiTheme="majorEastAsia" w:hAnsiTheme="majorEastAsia" w:eastAsiaTheme="majorEastAsia"/>
          <w:szCs w:val="21"/>
          <w:highlight w:val="none"/>
          <w:lang w:val="en-US" w:eastAsia="zh-CN"/>
        </w:rPr>
        <w:t>3</w:t>
      </w:r>
      <w:r>
        <w:rPr>
          <w:rFonts w:hint="eastAsia" w:cs="仿宋_GB2312" w:asciiTheme="majorEastAsia" w:hAnsiTheme="majorEastAsia" w:eastAsiaTheme="majorEastAsia"/>
          <w:szCs w:val="21"/>
          <w:highlight w:val="none"/>
        </w:rPr>
        <w:t>年12月31日</w:t>
      </w:r>
    </w:p>
    <w:p>
      <w:pPr>
        <w:spacing w:line="560" w:lineRule="exact"/>
        <w:ind w:firstLine="627" w:firstLineChars="196"/>
        <w:rPr>
          <w:rFonts w:ascii="黑体" w:hAnsi="黑体" w:eastAsia="黑体" w:cs="黑体"/>
          <w:bCs/>
          <w:sz w:val="32"/>
          <w:szCs w:val="32"/>
          <w:highlight w:val="none"/>
        </w:rPr>
      </w:pPr>
      <w:r>
        <w:rPr>
          <w:rFonts w:hint="eastAsia" w:ascii="黑体" w:hAnsi="黑体" w:eastAsia="黑体" w:cs="黑体"/>
          <w:bCs/>
          <w:sz w:val="32"/>
          <w:szCs w:val="32"/>
          <w:highlight w:val="none"/>
        </w:rPr>
        <w:t>八、专业名词解释</w:t>
      </w:r>
    </w:p>
    <w:p>
      <w:pPr>
        <w:spacing w:line="560" w:lineRule="exact"/>
        <w:ind w:firstLine="630" w:firstLineChars="196"/>
        <w:rPr>
          <w:rFonts w:ascii="仿宋" w:hAnsi="仿宋" w:eastAsia="仿宋"/>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、一般公共预算财政拨款收入：</w:t>
      </w:r>
      <w:r>
        <w:rPr>
          <w:rFonts w:hint="eastAsia" w:ascii="仿宋" w:hAnsi="仿宋" w:eastAsia="仿宋"/>
          <w:sz w:val="32"/>
          <w:szCs w:val="32"/>
          <w:highlight w:val="none"/>
        </w:rPr>
        <w:t>县级财政当年拨付的资金。</w:t>
      </w:r>
    </w:p>
    <w:p>
      <w:pPr>
        <w:pStyle w:val="8"/>
        <w:spacing w:line="560" w:lineRule="exact"/>
        <w:ind w:firstLine="578" w:firstLineChars="180"/>
        <w:rPr>
          <w:rFonts w:ascii="仿宋" w:hAnsi="仿宋" w:eastAsia="仿宋" w:cs="仿宋_GB2312"/>
          <w:sz w:val="32"/>
          <w:szCs w:val="32"/>
          <w:highlight w:val="none"/>
        </w:rPr>
      </w:pPr>
      <w:r>
        <w:rPr>
          <w:rStyle w:val="12"/>
          <w:rFonts w:ascii="仿宋" w:hAnsi="仿宋" w:eastAsia="仿宋" w:cs="仿宋_GB2312"/>
          <w:sz w:val="32"/>
          <w:szCs w:val="32"/>
          <w:highlight w:val="none"/>
          <w:shd w:val="clear" w:color="auto" w:fill="FFFFFF"/>
        </w:rPr>
        <w:t>2</w:t>
      </w:r>
      <w:r>
        <w:rPr>
          <w:rStyle w:val="12"/>
          <w:rFonts w:hint="eastAsia" w:ascii="仿宋" w:hAnsi="仿宋" w:eastAsia="仿宋" w:cs="仿宋_GB2312"/>
          <w:sz w:val="32"/>
          <w:szCs w:val="32"/>
          <w:highlight w:val="none"/>
          <w:shd w:val="clear" w:color="auto" w:fill="FFFFFF"/>
        </w:rPr>
        <w:t>、其他收入：</w:t>
      </w:r>
      <w:r>
        <w:rPr>
          <w:rFonts w:hint="eastAsia" w:ascii="仿宋" w:hAnsi="仿宋" w:eastAsia="仿宋" w:cs="仿宋_GB2312"/>
          <w:sz w:val="32"/>
          <w:szCs w:val="32"/>
          <w:highlight w:val="none"/>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highlight w:val="none"/>
        </w:rPr>
      </w:pPr>
      <w:r>
        <w:rPr>
          <w:rStyle w:val="12"/>
          <w:rFonts w:ascii="仿宋" w:hAnsi="仿宋" w:eastAsia="仿宋" w:cs="仿宋_GB2312"/>
          <w:color w:val="000000"/>
          <w:sz w:val="32"/>
          <w:szCs w:val="32"/>
          <w:highlight w:val="none"/>
          <w:shd w:val="clear" w:color="auto" w:fill="FFFFFF"/>
        </w:rPr>
        <w:t>3</w:t>
      </w:r>
      <w:r>
        <w:rPr>
          <w:rFonts w:hint="eastAsia" w:ascii="仿宋" w:hAnsi="仿宋" w:eastAsia="仿宋"/>
          <w:b/>
          <w:bCs/>
          <w:sz w:val="32"/>
          <w:szCs w:val="32"/>
          <w:highlight w:val="none"/>
        </w:rPr>
        <w:t>、基本支出：</w:t>
      </w:r>
      <w:r>
        <w:rPr>
          <w:rFonts w:hint="eastAsia" w:ascii="仿宋" w:hAnsi="仿宋" w:eastAsia="仿宋"/>
          <w:sz w:val="32"/>
          <w:szCs w:val="32"/>
          <w:highlight w:val="none"/>
        </w:rPr>
        <w:t>指为保障机构正常运转、完成日常工作任务而发生的人员支出和公用支出。</w:t>
      </w:r>
    </w:p>
    <w:p>
      <w:pPr>
        <w:pStyle w:val="8"/>
        <w:spacing w:line="560" w:lineRule="exact"/>
        <w:rPr>
          <w:rFonts w:ascii="仿宋" w:hAnsi="仿宋" w:eastAsia="仿宋"/>
          <w:sz w:val="32"/>
          <w:szCs w:val="32"/>
          <w:highlight w:val="none"/>
        </w:rPr>
      </w:pPr>
      <w:r>
        <w:rPr>
          <w:rFonts w:ascii="仿宋" w:hAnsi="仿宋" w:eastAsia="仿宋"/>
          <w:b/>
          <w:bCs/>
          <w:sz w:val="32"/>
          <w:szCs w:val="32"/>
          <w:highlight w:val="none"/>
        </w:rPr>
        <w:t xml:space="preserve">    4</w:t>
      </w:r>
      <w:r>
        <w:rPr>
          <w:rFonts w:hint="eastAsia" w:ascii="仿宋" w:hAnsi="仿宋" w:eastAsia="仿宋"/>
          <w:b/>
          <w:bCs/>
          <w:sz w:val="32"/>
          <w:szCs w:val="32"/>
          <w:highlight w:val="none"/>
        </w:rPr>
        <w:t>、项目支出</w:t>
      </w:r>
      <w:r>
        <w:rPr>
          <w:rFonts w:hint="eastAsia" w:ascii="仿宋" w:hAnsi="仿宋" w:eastAsia="仿宋"/>
          <w:sz w:val="32"/>
          <w:szCs w:val="32"/>
          <w:highlight w:val="none"/>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、“三公”经费：</w:t>
      </w:r>
      <w:r>
        <w:rPr>
          <w:rFonts w:hint="eastAsia" w:ascii="仿宋" w:hAnsi="仿宋" w:eastAsia="仿宋"/>
          <w:sz w:val="32"/>
          <w:szCs w:val="32"/>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6</w:t>
      </w:r>
      <w:r>
        <w:rPr>
          <w:rFonts w:hint="eastAsia" w:ascii="仿宋" w:hAnsi="仿宋" w:eastAsia="仿宋"/>
          <w:b/>
          <w:bCs/>
          <w:sz w:val="32"/>
          <w:szCs w:val="32"/>
          <w:highlight w:val="none"/>
        </w:rPr>
        <w:t>、机关运行经费：</w:t>
      </w:r>
      <w:r>
        <w:rPr>
          <w:rFonts w:hint="eastAsia" w:ascii="仿宋" w:hAnsi="仿宋" w:eastAsia="仿宋"/>
          <w:sz w:val="32"/>
          <w:szCs w:val="32"/>
          <w:highlight w:val="none"/>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highlight w:val="none"/>
        </w:rPr>
      </w:pPr>
      <w:r>
        <w:rPr>
          <w:rFonts w:hint="eastAsia" w:ascii="黑体" w:hAnsi="黑体" w:eastAsia="黑体" w:cs="黑体"/>
          <w:bCs/>
          <w:sz w:val="32"/>
          <w:szCs w:val="32"/>
          <w:highlight w:val="none"/>
        </w:rPr>
        <w:t>九、其他需要说明的事项</w:t>
      </w:r>
    </w:p>
    <w:p>
      <w:pPr>
        <w:spacing w:line="50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rPr>
        <w:t>我单位无其他需要说明的事项。</w:t>
      </w:r>
    </w:p>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25</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rawingGridHorizontalSpacing w:val="120"/>
  <w:drawingGridVerticalSpacing w:val="163"/>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11231"/>
    <w:rsid w:val="00041360"/>
    <w:rsid w:val="00080679"/>
    <w:rsid w:val="00080DAB"/>
    <w:rsid w:val="000A25AD"/>
    <w:rsid w:val="00111DAC"/>
    <w:rsid w:val="001146B7"/>
    <w:rsid w:val="00195FD6"/>
    <w:rsid w:val="001C0AE6"/>
    <w:rsid w:val="001C2717"/>
    <w:rsid w:val="001D7814"/>
    <w:rsid w:val="00212B47"/>
    <w:rsid w:val="00254A2D"/>
    <w:rsid w:val="002616A3"/>
    <w:rsid w:val="00285085"/>
    <w:rsid w:val="002A5116"/>
    <w:rsid w:val="002B462D"/>
    <w:rsid w:val="002B55F2"/>
    <w:rsid w:val="002C0C6F"/>
    <w:rsid w:val="002D4450"/>
    <w:rsid w:val="002E75BD"/>
    <w:rsid w:val="003120DF"/>
    <w:rsid w:val="00322249"/>
    <w:rsid w:val="003915E4"/>
    <w:rsid w:val="003B4E24"/>
    <w:rsid w:val="003B5287"/>
    <w:rsid w:val="003D6DC4"/>
    <w:rsid w:val="00413E0E"/>
    <w:rsid w:val="00472F0F"/>
    <w:rsid w:val="004D4B89"/>
    <w:rsid w:val="00577904"/>
    <w:rsid w:val="005A7938"/>
    <w:rsid w:val="005D7899"/>
    <w:rsid w:val="00611EC5"/>
    <w:rsid w:val="006B610F"/>
    <w:rsid w:val="006D48D7"/>
    <w:rsid w:val="00704359"/>
    <w:rsid w:val="00716E84"/>
    <w:rsid w:val="00731B49"/>
    <w:rsid w:val="00781D3A"/>
    <w:rsid w:val="00791CF2"/>
    <w:rsid w:val="007A09D3"/>
    <w:rsid w:val="00821C63"/>
    <w:rsid w:val="008236D4"/>
    <w:rsid w:val="0086163B"/>
    <w:rsid w:val="00874CA3"/>
    <w:rsid w:val="009A313E"/>
    <w:rsid w:val="009B060D"/>
    <w:rsid w:val="009B6764"/>
    <w:rsid w:val="009C206B"/>
    <w:rsid w:val="009E444A"/>
    <w:rsid w:val="00A560CA"/>
    <w:rsid w:val="00A879AA"/>
    <w:rsid w:val="00A9422D"/>
    <w:rsid w:val="00AB7DA1"/>
    <w:rsid w:val="00AF196B"/>
    <w:rsid w:val="00B06C65"/>
    <w:rsid w:val="00B11A4D"/>
    <w:rsid w:val="00B349A4"/>
    <w:rsid w:val="00B53CA2"/>
    <w:rsid w:val="00B8264D"/>
    <w:rsid w:val="00B8450A"/>
    <w:rsid w:val="00BC0518"/>
    <w:rsid w:val="00BD636A"/>
    <w:rsid w:val="00BF1B97"/>
    <w:rsid w:val="00C5217F"/>
    <w:rsid w:val="00C551BF"/>
    <w:rsid w:val="00C563C5"/>
    <w:rsid w:val="00C7194A"/>
    <w:rsid w:val="00C76B9D"/>
    <w:rsid w:val="00C83CF1"/>
    <w:rsid w:val="00C84C2E"/>
    <w:rsid w:val="00C92AE3"/>
    <w:rsid w:val="00CA59D1"/>
    <w:rsid w:val="00CB6BE0"/>
    <w:rsid w:val="00CC2C1E"/>
    <w:rsid w:val="00CD27D5"/>
    <w:rsid w:val="00CE4B75"/>
    <w:rsid w:val="00CF6148"/>
    <w:rsid w:val="00D122AE"/>
    <w:rsid w:val="00D16AFB"/>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71137"/>
    <w:rsid w:val="00FA7F33"/>
    <w:rsid w:val="00FC0623"/>
    <w:rsid w:val="031216A2"/>
    <w:rsid w:val="0432735E"/>
    <w:rsid w:val="054B4674"/>
    <w:rsid w:val="0E224982"/>
    <w:rsid w:val="156871EE"/>
    <w:rsid w:val="19DB2679"/>
    <w:rsid w:val="1D3E43C1"/>
    <w:rsid w:val="1E6C4DFA"/>
    <w:rsid w:val="1F001077"/>
    <w:rsid w:val="27F41D37"/>
    <w:rsid w:val="2A541516"/>
    <w:rsid w:val="311C36E6"/>
    <w:rsid w:val="37CF26CA"/>
    <w:rsid w:val="3A436BE8"/>
    <w:rsid w:val="3FA7706D"/>
    <w:rsid w:val="45F7544A"/>
    <w:rsid w:val="465810C1"/>
    <w:rsid w:val="48BA73C9"/>
    <w:rsid w:val="4A6E08DD"/>
    <w:rsid w:val="59103CAB"/>
    <w:rsid w:val="5B01542B"/>
    <w:rsid w:val="5ECC3465"/>
    <w:rsid w:val="60436F72"/>
    <w:rsid w:val="618868A7"/>
    <w:rsid w:val="670F6580"/>
    <w:rsid w:val="76F45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335668B4-649C-41E0-BC80-7D94ABF681A2}">
  <ds:schemaRefs/>
</ds:datastoreItem>
</file>

<file path=customXml/itemProps12.xml><?xml version="1.0" encoding="utf-8"?>
<ds:datastoreItem xmlns:ds="http://schemas.openxmlformats.org/officeDocument/2006/customXml" ds:itemID="{9E39FA8A-0D5E-4C72-88C2-A4A5C9D016A3}">
  <ds:schemaRefs/>
</ds:datastoreItem>
</file>

<file path=customXml/itemProps13.xml><?xml version="1.0" encoding="utf-8"?>
<ds:datastoreItem xmlns:ds="http://schemas.openxmlformats.org/officeDocument/2006/customXml" ds:itemID="{37F7508F-E6E4-4AFD-892B-6B2B71B9AAEB}">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82063DCE-E0D9-4D45-94AB-06A5849F123C}">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DFFE41CD-7795-417D-8B3D-7B7E92ADCE28}">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7DA1E944-597F-4D9A-ADC8-E3A5D62388E9}">
  <ds:schemaRefs/>
</ds:datastoreItem>
</file>

<file path=customXml/itemProps23.xml><?xml version="1.0" encoding="utf-8"?>
<ds:datastoreItem xmlns:ds="http://schemas.openxmlformats.org/officeDocument/2006/customXml" ds:itemID="{3300B263-A8B2-4577-A8B1-07D060066AC1}">
  <ds:schemaRefs/>
</ds:datastoreItem>
</file>

<file path=customXml/itemProps24.xml><?xml version="1.0" encoding="utf-8"?>
<ds:datastoreItem xmlns:ds="http://schemas.openxmlformats.org/officeDocument/2006/customXml" ds:itemID="{66CC41B6-D28D-4EED-B564-F0D3D013B8B1}">
  <ds:schemaRefs/>
</ds:datastoreItem>
</file>

<file path=customXml/itemProps25.xml><?xml version="1.0" encoding="utf-8"?>
<ds:datastoreItem xmlns:ds="http://schemas.openxmlformats.org/officeDocument/2006/customXml" ds:itemID="{B8034E79-3EC9-4FB4-8900-8DB566ED87F2}">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BC8B0B68-B399-4D6D-AE2B-284CCF1A5CB6}">
  <ds:schemaRefs/>
</ds:datastoreItem>
</file>

<file path=customXml/itemProps28.xml><?xml version="1.0" encoding="utf-8"?>
<ds:datastoreItem xmlns:ds="http://schemas.openxmlformats.org/officeDocument/2006/customXml" ds:itemID="{927546BB-28A9-4183-9889-130B2B46E760}">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6C8F0DDD-DA95-49D7-BEC9-54BED6023821}">
  <ds:schemaRefs/>
</ds:datastoreItem>
</file>

<file path=customXml/itemProps32.xml><?xml version="1.0" encoding="utf-8"?>
<ds:datastoreItem xmlns:ds="http://schemas.openxmlformats.org/officeDocument/2006/customXml" ds:itemID="{989DA21E-0CDF-4E3D-84F6-1D172BF7F4B9}">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4074F53B-6AA8-493B-96FF-0D7EB858216C}">
  <ds:schemaRefs/>
</ds:datastoreItem>
</file>

<file path=customXml/itemProps35.xml><?xml version="1.0" encoding="utf-8"?>
<ds:datastoreItem xmlns:ds="http://schemas.openxmlformats.org/officeDocument/2006/customXml" ds:itemID="{240D75C0-5405-407A-9D88-451A6C53325C}">
  <ds:schemaRefs/>
</ds:datastoreItem>
</file>

<file path=customXml/itemProps36.xml><?xml version="1.0" encoding="utf-8"?>
<ds:datastoreItem xmlns:ds="http://schemas.openxmlformats.org/officeDocument/2006/customXml" ds:itemID="{1C4E702D-2594-4689-8404-84AFD7E73E52}">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EFC46A3-03BA-4ECF-B65E-51918400F75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6A6DB8E6-5EDD-4508-B255-AD07BCA264C9}">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8567</Words>
  <Characters>10328</Characters>
  <Lines>94</Lines>
  <Paragraphs>26</Paragraphs>
  <TotalTime>41</TotalTime>
  <ScaleCrop>false</ScaleCrop>
  <LinksUpToDate>false</LinksUpToDate>
  <CharactersWithSpaces>10874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2023-02-08T13:11:00Z</dcterms:created>
  <dc:creator>Administrator</dc:creator>
  <cp:lastModifiedBy>八爪小鱼</cp:lastModifiedBy>
  <dcterms:modified xsi:type="dcterms:W3CDTF">2024-06-07T03:20:45Z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1396329580604D9A98CD944CF9DD11F7_13</vt:lpwstr>
  </property>
</Properties>
</file>