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涞水县三坡镇人民政府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涞水县三坡镇人民政府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bookmarkStart w:id="15" w:name="_GoBack"/>
      <w:bookmarkEnd w:id="15"/>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hint="eastAsia"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eastAsia" w:eastAsiaTheme="minorEastAsia"/>
                <w:lang w:eastAsia="zh-CN"/>
              </w:rPr>
            </w:pPr>
            <w:r>
              <w:rPr>
                <w:rFonts w:hint="eastAsia" w:ascii="Calibri" w:hAnsi="Calibri" w:cs="Calibri"/>
                <w:color w:val="000000"/>
                <w:sz w:val="22"/>
                <w:szCs w:val="22"/>
              </w:rPr>
              <w:t>598.00</w:t>
            </w:r>
          </w:p>
        </w:tc>
        <w:tc>
          <w:tcPr>
            <w:tcW w:w="4535" w:type="dxa"/>
            <w:vAlign w:val="center"/>
          </w:tcPr>
          <w:p>
            <w:pPr>
              <w:pStyle w:val="17"/>
            </w:pPr>
            <w:r>
              <w:rPr>
                <w:rFonts w:hint="eastAsia"/>
              </w:rPr>
              <w:t>一、一般公共服务支出</w:t>
            </w:r>
          </w:p>
        </w:tc>
        <w:tc>
          <w:tcPr>
            <w:tcW w:w="2126" w:type="dxa"/>
            <w:vAlign w:val="top"/>
          </w:tcPr>
          <w:p>
            <w:pPr>
              <w:pStyle w:val="16"/>
            </w:pPr>
            <w:r>
              <w:rPr>
                <w:rFonts w:hint="eastAsia" w:ascii="Calibri" w:hAnsi="Calibri" w:cs="Calibri"/>
                <w:color w:val="000000"/>
                <w:sz w:val="22"/>
                <w:szCs w:val="22"/>
              </w:rPr>
              <w:t>500.45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top"/>
          </w:tcPr>
          <w:p>
            <w:pPr>
              <w:pStyle w:val="16"/>
              <w:rPr>
                <w:lang w:eastAsia="zh-CN"/>
              </w:rPr>
            </w:pPr>
            <w:r>
              <w:rPr>
                <w:rFonts w:ascii="Calibri" w:hAnsi="Calibri" w:cs="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top"/>
          </w:tcPr>
          <w:p>
            <w:pPr>
              <w:pStyle w:val="16"/>
            </w:pPr>
            <w:r>
              <w:rPr>
                <w:rFonts w:hint="eastAsia" w:ascii="Calibri" w:hAnsi="Calibri" w:cs="Calibri"/>
                <w:color w:val="000000"/>
                <w:sz w:val="22"/>
                <w:szCs w:val="22"/>
              </w:rPr>
              <w:t>41.34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top"/>
          </w:tcPr>
          <w:p>
            <w:pPr>
              <w:pStyle w:val="16"/>
              <w:rPr>
                <w:lang w:eastAsia="zh-CN"/>
              </w:rPr>
            </w:pPr>
            <w:r>
              <w:rPr>
                <w:rFonts w:hint="eastAsia" w:ascii="Calibri" w:hAnsi="Calibri" w:cs="Calibri"/>
                <w:color w:val="000000"/>
                <w:sz w:val="22"/>
                <w:szCs w:val="22"/>
              </w:rPr>
              <w:t>24.21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top"/>
          </w:tcPr>
          <w:p>
            <w:pPr>
              <w:pStyle w:val="16"/>
            </w:pPr>
            <w:r>
              <w:rPr>
                <w:rFonts w:hint="eastAsia" w:ascii="Calibri" w:hAnsi="Calibri" w:cs="Calibri"/>
                <w:color w:val="000000"/>
                <w:sz w:val="22"/>
                <w:szCs w:val="22"/>
              </w:rPr>
              <w:t>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top"/>
          </w:tcPr>
          <w:p>
            <w:pPr>
              <w:pStyle w:val="16"/>
              <w:rPr>
                <w:rFonts w:ascii="方正书宋_GBK" w:hAnsi="方正书宋_GBK" w:eastAsia="方正书宋_GBK" w:cs="方正书宋_GBK"/>
                <w:sz w:val="21"/>
                <w:szCs w:val="24"/>
                <w:lang w:val="en-US" w:eastAsia="uk-UA" w:bidi="ar-SA"/>
              </w:rPr>
            </w:pPr>
            <w:r>
              <w:rPr>
                <w:rFonts w:hint="eastAsia" w:ascii="Calibri" w:hAnsi="Calibri" w:cs="Calibri"/>
                <w:color w:val="000000"/>
                <w:sz w:val="22"/>
                <w:szCs w:val="22"/>
              </w:rPr>
              <w:t>598.00</w:t>
            </w:r>
          </w:p>
        </w:tc>
        <w:tc>
          <w:tcPr>
            <w:tcW w:w="4535" w:type="dxa"/>
            <w:vAlign w:val="center"/>
          </w:tcPr>
          <w:p>
            <w:pPr>
              <w:pStyle w:val="19"/>
            </w:pPr>
            <w:r>
              <w:rPr>
                <w:rFonts w:hint="eastAsia"/>
              </w:rPr>
              <w:t>本年支出合计</w:t>
            </w:r>
          </w:p>
        </w:tc>
        <w:tc>
          <w:tcPr>
            <w:tcW w:w="2126" w:type="dxa"/>
            <w:vAlign w:val="top"/>
          </w:tcPr>
          <w:p>
            <w:pPr>
              <w:pStyle w:val="16"/>
            </w:pPr>
            <w:r>
              <w:rPr>
                <w:rFonts w:hint="eastAsia" w:ascii="Calibri" w:hAnsi="Calibri" w:cs="Calibri"/>
                <w:color w:val="000000"/>
                <w:sz w:val="22"/>
                <w:szCs w:val="22"/>
              </w:rPr>
              <w:t>598.00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top"/>
          </w:tcPr>
          <w:p>
            <w:pPr>
              <w:pStyle w:val="16"/>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　</w:t>
            </w:r>
          </w:p>
        </w:tc>
        <w:tc>
          <w:tcPr>
            <w:tcW w:w="4535" w:type="dxa"/>
            <w:vAlign w:val="center"/>
          </w:tcPr>
          <w:p>
            <w:pPr>
              <w:pStyle w:val="17"/>
            </w:pPr>
            <w:r>
              <w:rPr>
                <w:rFonts w:hint="eastAsia"/>
              </w:rPr>
              <w:t>年终结转结余</w:t>
            </w:r>
          </w:p>
        </w:tc>
        <w:tc>
          <w:tcPr>
            <w:tcW w:w="2126" w:type="dxa"/>
            <w:vAlign w:val="top"/>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top"/>
          </w:tcPr>
          <w:p>
            <w:pPr>
              <w:pStyle w:val="16"/>
              <w:rPr>
                <w:rFonts w:ascii="方正书宋_GBK" w:hAnsi="方正书宋_GBK" w:eastAsia="方正书宋_GBK" w:cs="方正书宋_GBK"/>
                <w:sz w:val="21"/>
                <w:szCs w:val="24"/>
                <w:lang w:val="en-US" w:eastAsia="uk-UA" w:bidi="ar-SA"/>
              </w:rPr>
            </w:pPr>
            <w:r>
              <w:rPr>
                <w:rFonts w:hint="eastAsia" w:ascii="Calibri" w:hAnsi="Calibri" w:cs="Calibri"/>
                <w:color w:val="000000"/>
                <w:sz w:val="22"/>
                <w:szCs w:val="22"/>
              </w:rPr>
              <w:t>598.00</w:t>
            </w:r>
          </w:p>
        </w:tc>
        <w:tc>
          <w:tcPr>
            <w:tcW w:w="4535" w:type="dxa"/>
            <w:vAlign w:val="center"/>
          </w:tcPr>
          <w:p>
            <w:pPr>
              <w:pStyle w:val="19"/>
            </w:pPr>
            <w:r>
              <w:rPr>
                <w:rFonts w:hint="eastAsia"/>
              </w:rPr>
              <w:t>支出总计</w:t>
            </w:r>
          </w:p>
        </w:tc>
        <w:tc>
          <w:tcPr>
            <w:tcW w:w="2126" w:type="dxa"/>
            <w:vAlign w:val="top"/>
          </w:tcPr>
          <w:p>
            <w:pPr>
              <w:pStyle w:val="16"/>
            </w:pPr>
            <w:r>
              <w:rPr>
                <w:rFonts w:hint="eastAsia" w:ascii="Calibri" w:hAnsi="Calibri" w:cs="Calibri"/>
                <w:color w:val="000000"/>
                <w:sz w:val="22"/>
                <w:szCs w:val="22"/>
              </w:rPr>
              <w:t>598.00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top"/>
          </w:tcPr>
          <w:p>
            <w:pPr>
              <w:pStyle w:val="20"/>
            </w:pPr>
            <w:r>
              <w:rPr>
                <w:rFonts w:hint="eastAsia" w:ascii="Calibri" w:hAnsi="Calibri" w:cs="Calibri"/>
                <w:color w:val="000000"/>
                <w:sz w:val="22"/>
                <w:szCs w:val="22"/>
              </w:rPr>
              <w:t>598.00</w:t>
            </w:r>
          </w:p>
        </w:tc>
        <w:tc>
          <w:tcPr>
            <w:tcW w:w="1134" w:type="dxa"/>
            <w:vAlign w:val="top"/>
          </w:tcPr>
          <w:p>
            <w:pPr>
              <w:pStyle w:val="20"/>
            </w:pPr>
            <w:r>
              <w:rPr>
                <w:rFonts w:hint="eastAsia" w:ascii="Calibri" w:hAnsi="Calibri" w:cs="Calibri"/>
                <w:color w:val="000000"/>
                <w:sz w:val="22"/>
                <w:szCs w:val="22"/>
              </w:rPr>
              <w:t>598.00</w:t>
            </w:r>
          </w:p>
        </w:tc>
        <w:tc>
          <w:tcPr>
            <w:tcW w:w="1134" w:type="dxa"/>
            <w:vAlign w:val="top"/>
          </w:tcPr>
          <w:p>
            <w:pPr>
              <w:pStyle w:val="20"/>
            </w:pPr>
            <w:r>
              <w:rPr>
                <w:rFonts w:hint="eastAsia" w:ascii="Calibri" w:hAnsi="Calibri" w:cs="Calibri"/>
                <w:color w:val="000000"/>
                <w:sz w:val="22"/>
                <w:szCs w:val="22"/>
              </w:rPr>
              <w:t>598.00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201</w:t>
            </w:r>
          </w:p>
        </w:tc>
        <w:tc>
          <w:tcPr>
            <w:tcW w:w="1559" w:type="dxa"/>
            <w:vAlign w:val="top"/>
          </w:tcPr>
          <w:p>
            <w:pPr>
              <w:pStyle w:val="17"/>
              <w:rPr>
                <w:rFonts w:ascii="Calibri" w:hAnsi="Calibri" w:cs="宋体"/>
                <w:color w:val="000000"/>
                <w:sz w:val="22"/>
                <w:szCs w:val="22"/>
              </w:rPr>
            </w:pPr>
            <w:r>
              <w:rPr>
                <w:rFonts w:ascii="Calibri" w:hAnsi="Calibri" w:cs="Calibri"/>
                <w:color w:val="000000"/>
                <w:sz w:val="22"/>
                <w:szCs w:val="22"/>
              </w:rPr>
              <w:t>一般公共服务支出</w:t>
            </w:r>
          </w:p>
        </w:tc>
        <w:tc>
          <w:tcPr>
            <w:tcW w:w="1134" w:type="dxa"/>
            <w:vAlign w:val="top"/>
          </w:tcPr>
          <w:p>
            <w:pPr>
              <w:pStyle w:val="16"/>
            </w:pPr>
            <w:r>
              <w:rPr>
                <w:rFonts w:hint="eastAsia" w:ascii="Calibri" w:hAnsi="Calibri" w:cs="Calibri"/>
                <w:color w:val="000000"/>
                <w:sz w:val="22"/>
                <w:szCs w:val="22"/>
              </w:rPr>
              <w:t>500.45</w:t>
            </w:r>
          </w:p>
        </w:tc>
        <w:tc>
          <w:tcPr>
            <w:tcW w:w="1134" w:type="dxa"/>
            <w:vAlign w:val="top"/>
          </w:tcPr>
          <w:p>
            <w:pPr>
              <w:pStyle w:val="16"/>
            </w:pPr>
            <w:r>
              <w:rPr>
                <w:rFonts w:hint="eastAsia" w:ascii="Calibri" w:hAnsi="Calibri" w:cs="Calibri"/>
                <w:color w:val="000000"/>
                <w:sz w:val="22"/>
                <w:szCs w:val="22"/>
              </w:rPr>
              <w:t>500.45</w:t>
            </w:r>
          </w:p>
        </w:tc>
        <w:tc>
          <w:tcPr>
            <w:tcW w:w="1134" w:type="dxa"/>
            <w:vAlign w:val="top"/>
          </w:tcPr>
          <w:p>
            <w:pPr>
              <w:pStyle w:val="16"/>
            </w:pPr>
            <w:r>
              <w:rPr>
                <w:rFonts w:hint="eastAsia" w:ascii="Calibri" w:hAnsi="Calibri" w:cs="Calibri"/>
                <w:color w:val="000000"/>
                <w:sz w:val="22"/>
                <w:szCs w:val="22"/>
              </w:rPr>
              <w:t>500.45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20103</w:t>
            </w:r>
          </w:p>
        </w:tc>
        <w:tc>
          <w:tcPr>
            <w:tcW w:w="1559" w:type="dxa"/>
            <w:vAlign w:val="top"/>
          </w:tcPr>
          <w:p>
            <w:pPr>
              <w:pStyle w:val="17"/>
              <w:rPr>
                <w:rFonts w:ascii="Calibri" w:hAnsi="Calibri" w:cs="宋体"/>
                <w:color w:val="000000"/>
                <w:sz w:val="22"/>
                <w:szCs w:val="22"/>
              </w:rPr>
            </w:pPr>
            <w:r>
              <w:rPr>
                <w:rFonts w:ascii="Calibri" w:hAnsi="Calibri" w:cs="Calibri"/>
                <w:color w:val="000000"/>
                <w:sz w:val="22"/>
                <w:szCs w:val="22"/>
              </w:rPr>
              <w:t>政府办公厅（室）及相关机构事务</w:t>
            </w:r>
          </w:p>
        </w:tc>
        <w:tc>
          <w:tcPr>
            <w:tcW w:w="1134" w:type="dxa"/>
            <w:vAlign w:val="top"/>
          </w:tcPr>
          <w:p>
            <w:pPr>
              <w:pStyle w:val="16"/>
            </w:pPr>
            <w:r>
              <w:rPr>
                <w:rFonts w:hint="eastAsia" w:ascii="Calibri" w:hAnsi="Calibri" w:cs="Calibri"/>
                <w:color w:val="000000"/>
                <w:sz w:val="22"/>
                <w:szCs w:val="22"/>
              </w:rPr>
              <w:t>480.45</w:t>
            </w:r>
          </w:p>
        </w:tc>
        <w:tc>
          <w:tcPr>
            <w:tcW w:w="1134" w:type="dxa"/>
            <w:vAlign w:val="top"/>
          </w:tcPr>
          <w:p>
            <w:pPr>
              <w:pStyle w:val="16"/>
            </w:pPr>
            <w:r>
              <w:rPr>
                <w:rFonts w:hint="eastAsia" w:ascii="Calibri" w:hAnsi="Calibri" w:cs="Calibri"/>
                <w:color w:val="000000"/>
                <w:sz w:val="22"/>
                <w:szCs w:val="22"/>
              </w:rPr>
              <w:t>480.45</w:t>
            </w:r>
          </w:p>
        </w:tc>
        <w:tc>
          <w:tcPr>
            <w:tcW w:w="1134" w:type="dxa"/>
            <w:vAlign w:val="top"/>
          </w:tcPr>
          <w:p>
            <w:pPr>
              <w:pStyle w:val="16"/>
            </w:pPr>
            <w:r>
              <w:rPr>
                <w:rFonts w:hint="eastAsia" w:ascii="Calibri" w:hAnsi="Calibri" w:cs="Calibri"/>
                <w:color w:val="000000"/>
                <w:sz w:val="22"/>
                <w:szCs w:val="22"/>
              </w:rPr>
              <w:t>480.45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2010301</w:t>
            </w:r>
          </w:p>
        </w:tc>
        <w:tc>
          <w:tcPr>
            <w:tcW w:w="1559" w:type="dxa"/>
            <w:vAlign w:val="top"/>
          </w:tcPr>
          <w:p>
            <w:pPr>
              <w:pStyle w:val="17"/>
              <w:rPr>
                <w:rFonts w:ascii="Calibri" w:hAnsi="Calibri" w:cs="宋体"/>
                <w:color w:val="000000"/>
                <w:sz w:val="22"/>
                <w:szCs w:val="22"/>
              </w:rPr>
            </w:pPr>
            <w:r>
              <w:rPr>
                <w:rFonts w:ascii="Calibri" w:hAnsi="Calibri" w:cs="Calibri"/>
                <w:color w:val="000000"/>
                <w:sz w:val="22"/>
                <w:szCs w:val="22"/>
              </w:rPr>
              <w:t>行政运行</w:t>
            </w:r>
          </w:p>
        </w:tc>
        <w:tc>
          <w:tcPr>
            <w:tcW w:w="1134" w:type="dxa"/>
            <w:vAlign w:val="top"/>
          </w:tcPr>
          <w:p>
            <w:pPr>
              <w:pStyle w:val="16"/>
            </w:pPr>
            <w:r>
              <w:rPr>
                <w:rFonts w:hint="eastAsia" w:ascii="Calibri" w:hAnsi="Calibri" w:cs="Calibri"/>
                <w:color w:val="000000"/>
                <w:sz w:val="22"/>
                <w:szCs w:val="22"/>
              </w:rPr>
              <w:t>454.70</w:t>
            </w:r>
          </w:p>
        </w:tc>
        <w:tc>
          <w:tcPr>
            <w:tcW w:w="1134" w:type="dxa"/>
            <w:vAlign w:val="top"/>
          </w:tcPr>
          <w:p>
            <w:pPr>
              <w:pStyle w:val="16"/>
            </w:pPr>
            <w:r>
              <w:rPr>
                <w:rFonts w:hint="eastAsia" w:ascii="Calibri" w:hAnsi="Calibri" w:cs="Calibri"/>
                <w:color w:val="000000"/>
                <w:sz w:val="22"/>
                <w:szCs w:val="22"/>
              </w:rPr>
              <w:t>454.70</w:t>
            </w:r>
          </w:p>
        </w:tc>
        <w:tc>
          <w:tcPr>
            <w:tcW w:w="1134" w:type="dxa"/>
            <w:vAlign w:val="top"/>
          </w:tcPr>
          <w:p>
            <w:pPr>
              <w:pStyle w:val="16"/>
            </w:pPr>
            <w:r>
              <w:rPr>
                <w:rFonts w:hint="eastAsia" w:ascii="Calibri" w:hAnsi="Calibri" w:cs="Calibri"/>
                <w:color w:val="000000"/>
                <w:sz w:val="22"/>
                <w:szCs w:val="22"/>
              </w:rPr>
              <w:t>454.70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2010302</w:t>
            </w:r>
          </w:p>
        </w:tc>
        <w:tc>
          <w:tcPr>
            <w:tcW w:w="1559" w:type="dxa"/>
            <w:vAlign w:val="top"/>
          </w:tcPr>
          <w:p>
            <w:pPr>
              <w:pStyle w:val="17"/>
              <w:rPr>
                <w:rFonts w:ascii="Calibri" w:hAnsi="Calibri" w:cs="宋体"/>
                <w:color w:val="000000"/>
                <w:sz w:val="22"/>
                <w:szCs w:val="22"/>
              </w:rPr>
            </w:pPr>
            <w:r>
              <w:rPr>
                <w:rFonts w:ascii="Calibri" w:hAnsi="Calibri" w:cs="Calibri"/>
                <w:color w:val="000000"/>
                <w:sz w:val="22"/>
                <w:szCs w:val="22"/>
              </w:rPr>
              <w:t>一般行政管理事务</w:t>
            </w:r>
          </w:p>
        </w:tc>
        <w:tc>
          <w:tcPr>
            <w:tcW w:w="1134" w:type="dxa"/>
            <w:vAlign w:val="top"/>
          </w:tcPr>
          <w:p>
            <w:pPr>
              <w:pStyle w:val="16"/>
            </w:pPr>
            <w:r>
              <w:rPr>
                <w:rFonts w:hint="eastAsia" w:ascii="Calibri" w:hAnsi="Calibri" w:cs="Calibri"/>
                <w:color w:val="000000"/>
                <w:sz w:val="22"/>
                <w:szCs w:val="22"/>
              </w:rPr>
              <w:t>25.75</w:t>
            </w:r>
          </w:p>
        </w:tc>
        <w:tc>
          <w:tcPr>
            <w:tcW w:w="1134" w:type="dxa"/>
            <w:vAlign w:val="top"/>
          </w:tcPr>
          <w:p>
            <w:pPr>
              <w:pStyle w:val="16"/>
            </w:pPr>
            <w:r>
              <w:rPr>
                <w:rFonts w:hint="eastAsia" w:ascii="Calibri" w:hAnsi="Calibri" w:cs="Calibri"/>
                <w:color w:val="000000"/>
                <w:sz w:val="22"/>
                <w:szCs w:val="22"/>
              </w:rPr>
              <w:t>25.75</w:t>
            </w:r>
          </w:p>
        </w:tc>
        <w:tc>
          <w:tcPr>
            <w:tcW w:w="1134" w:type="dxa"/>
            <w:vAlign w:val="top"/>
          </w:tcPr>
          <w:p>
            <w:pPr>
              <w:pStyle w:val="16"/>
            </w:pPr>
            <w:r>
              <w:rPr>
                <w:rFonts w:hint="eastAsia" w:ascii="Calibri" w:hAnsi="Calibri" w:cs="Calibri"/>
                <w:color w:val="000000"/>
                <w:sz w:val="22"/>
                <w:szCs w:val="22"/>
              </w:rPr>
              <w:t>25.75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w:t>
            </w:r>
            <w:r>
              <w:rPr>
                <w:rFonts w:hint="eastAsia" w:ascii="Calibri" w:hAnsi="Calibri" w:cs="Calibri"/>
                <w:color w:val="000000"/>
                <w:sz w:val="22"/>
                <w:szCs w:val="22"/>
                <w:lang w:val="en-US" w:eastAsia="zh-CN"/>
              </w:rPr>
              <w:t>199</w:t>
            </w:r>
          </w:p>
        </w:tc>
        <w:tc>
          <w:tcPr>
            <w:tcW w:w="1559" w:type="dxa"/>
            <w:vAlign w:val="top"/>
          </w:tcPr>
          <w:p>
            <w:pPr>
              <w:pStyle w:val="17"/>
              <w:rPr>
                <w:rFonts w:ascii="Calibri" w:hAnsi="Calibri" w:cs="宋体"/>
                <w:color w:val="000000"/>
                <w:sz w:val="22"/>
                <w:szCs w:val="22"/>
              </w:rPr>
            </w:pPr>
            <w:r>
              <w:rPr>
                <w:rFonts w:hint="eastAsia" w:ascii="Calibri" w:hAnsi="Calibri" w:cs="Calibri"/>
                <w:color w:val="000000"/>
                <w:sz w:val="22"/>
                <w:szCs w:val="22"/>
                <w:lang w:val="en-US" w:eastAsia="zh-CN"/>
              </w:rPr>
              <w:t>其他一般公共服务支出</w:t>
            </w:r>
          </w:p>
        </w:tc>
        <w:tc>
          <w:tcPr>
            <w:tcW w:w="1134" w:type="dxa"/>
            <w:vAlign w:val="top"/>
          </w:tcPr>
          <w:p>
            <w:pPr>
              <w:pStyle w:val="16"/>
            </w:pPr>
            <w:r>
              <w:rPr>
                <w:rFonts w:hint="eastAsia" w:ascii="Calibri" w:hAnsi="Calibri" w:cs="Calibri"/>
                <w:color w:val="000000"/>
                <w:sz w:val="22"/>
                <w:szCs w:val="22"/>
                <w:lang w:val="en-US" w:eastAsia="zh-CN"/>
              </w:rPr>
              <w:t>20</w:t>
            </w:r>
          </w:p>
        </w:tc>
        <w:tc>
          <w:tcPr>
            <w:tcW w:w="1134" w:type="dxa"/>
            <w:vAlign w:val="top"/>
          </w:tcPr>
          <w:p>
            <w:pPr>
              <w:pStyle w:val="16"/>
            </w:pPr>
            <w:r>
              <w:rPr>
                <w:rFonts w:hint="eastAsia" w:ascii="Calibri" w:hAnsi="Calibri" w:cs="Calibri"/>
                <w:color w:val="000000"/>
                <w:sz w:val="22"/>
                <w:szCs w:val="22"/>
                <w:lang w:val="en-US" w:eastAsia="zh-CN"/>
              </w:rPr>
              <w:t>20</w:t>
            </w:r>
          </w:p>
        </w:tc>
        <w:tc>
          <w:tcPr>
            <w:tcW w:w="1134" w:type="dxa"/>
            <w:vAlign w:val="top"/>
          </w:tcPr>
          <w:p>
            <w:pPr>
              <w:pStyle w:val="16"/>
            </w:pPr>
            <w:r>
              <w:rPr>
                <w:rFonts w:hint="eastAsia" w:ascii="Calibri" w:hAnsi="Calibri" w:cs="Calibri"/>
                <w:color w:val="000000"/>
                <w:sz w:val="22"/>
                <w:szCs w:val="22"/>
                <w:lang w:val="en-US" w:eastAsia="zh-CN"/>
              </w:rPr>
              <w:t>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w:t>
            </w:r>
            <w:r>
              <w:rPr>
                <w:rFonts w:hint="eastAsia" w:ascii="Calibri" w:hAnsi="Calibri" w:cs="Calibri"/>
                <w:color w:val="000000"/>
                <w:sz w:val="22"/>
                <w:szCs w:val="22"/>
                <w:lang w:val="en-US" w:eastAsia="zh-CN"/>
              </w:rPr>
              <w:t>19999</w:t>
            </w:r>
          </w:p>
        </w:tc>
        <w:tc>
          <w:tcPr>
            <w:tcW w:w="1559" w:type="dxa"/>
            <w:vAlign w:val="top"/>
          </w:tcPr>
          <w:p>
            <w:pPr>
              <w:pStyle w:val="17"/>
              <w:rPr>
                <w:rFonts w:ascii="Calibri" w:hAnsi="Calibri" w:cs="宋体"/>
                <w:color w:val="000000"/>
                <w:sz w:val="22"/>
                <w:szCs w:val="22"/>
              </w:rPr>
            </w:pPr>
            <w:r>
              <w:rPr>
                <w:rFonts w:hint="eastAsia" w:ascii="Calibri" w:hAnsi="Calibri" w:cs="Calibri"/>
                <w:color w:val="000000"/>
                <w:sz w:val="22"/>
                <w:szCs w:val="22"/>
                <w:lang w:val="en-US" w:eastAsia="zh-CN"/>
              </w:rPr>
              <w:t>其他一般公共服务支出</w:t>
            </w:r>
          </w:p>
        </w:tc>
        <w:tc>
          <w:tcPr>
            <w:tcW w:w="1134" w:type="dxa"/>
            <w:vAlign w:val="top"/>
          </w:tcPr>
          <w:p>
            <w:pPr>
              <w:pStyle w:val="16"/>
            </w:pPr>
            <w:r>
              <w:rPr>
                <w:rFonts w:hint="eastAsia" w:ascii="Calibri" w:hAnsi="Calibri" w:cs="Calibri"/>
                <w:color w:val="000000"/>
                <w:sz w:val="22"/>
                <w:szCs w:val="22"/>
                <w:lang w:val="en-US" w:eastAsia="zh-CN"/>
              </w:rPr>
              <w:t>20</w:t>
            </w:r>
          </w:p>
        </w:tc>
        <w:tc>
          <w:tcPr>
            <w:tcW w:w="1134" w:type="dxa"/>
            <w:vAlign w:val="top"/>
          </w:tcPr>
          <w:p>
            <w:pPr>
              <w:pStyle w:val="16"/>
            </w:pPr>
            <w:r>
              <w:rPr>
                <w:rFonts w:hint="eastAsia" w:ascii="Calibri" w:hAnsi="Calibri" w:cs="Calibri"/>
                <w:color w:val="000000"/>
                <w:sz w:val="22"/>
                <w:szCs w:val="22"/>
                <w:lang w:val="en-US" w:eastAsia="zh-CN"/>
              </w:rPr>
              <w:t>20</w:t>
            </w:r>
          </w:p>
        </w:tc>
        <w:tc>
          <w:tcPr>
            <w:tcW w:w="1134" w:type="dxa"/>
            <w:vAlign w:val="top"/>
          </w:tcPr>
          <w:p>
            <w:pPr>
              <w:pStyle w:val="16"/>
            </w:pPr>
            <w:r>
              <w:rPr>
                <w:rFonts w:hint="eastAsia" w:ascii="Calibri" w:hAnsi="Calibri" w:cs="Calibri"/>
                <w:color w:val="000000"/>
                <w:sz w:val="22"/>
                <w:szCs w:val="22"/>
                <w:lang w:val="en-US" w:eastAsia="zh-CN"/>
              </w:rPr>
              <w:t>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207</w:t>
            </w:r>
          </w:p>
        </w:tc>
        <w:tc>
          <w:tcPr>
            <w:tcW w:w="1559" w:type="dxa"/>
            <w:vAlign w:val="top"/>
          </w:tcPr>
          <w:p>
            <w:pPr>
              <w:pStyle w:val="17"/>
              <w:rPr>
                <w:rFonts w:ascii="Calibri" w:hAnsi="Calibri" w:cs="宋体"/>
                <w:color w:val="000000"/>
                <w:sz w:val="22"/>
                <w:szCs w:val="22"/>
              </w:rPr>
            </w:pPr>
            <w:r>
              <w:rPr>
                <w:rFonts w:ascii="Calibri" w:hAnsi="Calibri" w:cs="Calibri"/>
                <w:color w:val="000000"/>
                <w:sz w:val="22"/>
                <w:szCs w:val="22"/>
              </w:rPr>
              <w:t>文化旅游</w:t>
            </w:r>
            <w:r>
              <w:rPr>
                <w:rFonts w:hint="eastAsia" w:ascii="Calibri" w:hAnsi="Calibri" w:cs="Calibri"/>
                <w:color w:val="000000"/>
                <w:sz w:val="22"/>
                <w:szCs w:val="22"/>
                <w:lang w:val="en-US" w:eastAsia="zh-CN"/>
              </w:rPr>
              <w:t>体育与传媒</w:t>
            </w:r>
            <w:r>
              <w:rPr>
                <w:rFonts w:ascii="Calibri" w:hAnsi="Calibri" w:cs="Calibri"/>
                <w:color w:val="000000"/>
                <w:sz w:val="22"/>
                <w:szCs w:val="22"/>
              </w:rPr>
              <w:t>支出</w:t>
            </w:r>
          </w:p>
        </w:tc>
        <w:tc>
          <w:tcPr>
            <w:tcW w:w="1134" w:type="dxa"/>
            <w:vAlign w:val="top"/>
          </w:tcPr>
          <w:p>
            <w:pPr>
              <w:pStyle w:val="16"/>
            </w:pPr>
            <w:r>
              <w:rPr>
                <w:rFonts w:ascii="Calibri" w:hAnsi="Calibri" w:cs="Calibri"/>
                <w:color w:val="000000"/>
                <w:sz w:val="22"/>
                <w:szCs w:val="22"/>
              </w:rPr>
              <w:t>1.75</w:t>
            </w:r>
          </w:p>
        </w:tc>
        <w:tc>
          <w:tcPr>
            <w:tcW w:w="1134" w:type="dxa"/>
            <w:vAlign w:val="top"/>
          </w:tcPr>
          <w:p>
            <w:pPr>
              <w:pStyle w:val="16"/>
            </w:pPr>
            <w:r>
              <w:rPr>
                <w:rFonts w:ascii="Calibri" w:hAnsi="Calibri" w:cs="Calibri"/>
                <w:color w:val="000000"/>
                <w:sz w:val="22"/>
                <w:szCs w:val="22"/>
              </w:rPr>
              <w:t>1.75</w:t>
            </w:r>
          </w:p>
        </w:tc>
        <w:tc>
          <w:tcPr>
            <w:tcW w:w="1134" w:type="dxa"/>
            <w:vAlign w:val="top"/>
          </w:tcPr>
          <w:p>
            <w:pPr>
              <w:pStyle w:val="16"/>
            </w:pPr>
            <w:r>
              <w:rPr>
                <w:rFonts w:ascii="Calibri" w:hAnsi="Calibri" w:cs="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w:t>
            </w:r>
            <w:r>
              <w:rPr>
                <w:rFonts w:hint="eastAsia" w:ascii="Calibri" w:hAnsi="Calibri" w:cs="Calibri"/>
                <w:color w:val="000000"/>
                <w:sz w:val="22"/>
                <w:szCs w:val="22"/>
                <w:lang w:val="en-US" w:eastAsia="zh-CN"/>
              </w:rPr>
              <w:t>701</w:t>
            </w:r>
          </w:p>
        </w:tc>
        <w:tc>
          <w:tcPr>
            <w:tcW w:w="1559" w:type="dxa"/>
            <w:vAlign w:val="top"/>
          </w:tcPr>
          <w:p>
            <w:pPr>
              <w:pStyle w:val="17"/>
              <w:rPr>
                <w:rFonts w:ascii="Calibri" w:hAnsi="Calibri" w:cs="宋体"/>
                <w:color w:val="000000"/>
                <w:sz w:val="22"/>
                <w:szCs w:val="22"/>
              </w:rPr>
            </w:pPr>
            <w:r>
              <w:rPr>
                <w:rFonts w:hint="eastAsia" w:ascii="Calibri" w:hAnsi="Calibri" w:cs="Calibri"/>
                <w:color w:val="000000"/>
                <w:sz w:val="22"/>
                <w:szCs w:val="22"/>
                <w:lang w:val="en-US" w:eastAsia="zh-CN"/>
              </w:rPr>
              <w:t>文化和旅游</w:t>
            </w:r>
          </w:p>
        </w:tc>
        <w:tc>
          <w:tcPr>
            <w:tcW w:w="1134" w:type="dxa"/>
            <w:vAlign w:val="top"/>
          </w:tcPr>
          <w:p>
            <w:pPr>
              <w:pStyle w:val="16"/>
            </w:pPr>
            <w:r>
              <w:rPr>
                <w:rFonts w:ascii="Calibri" w:hAnsi="Calibri" w:cs="Calibri"/>
                <w:color w:val="000000"/>
                <w:sz w:val="22"/>
                <w:szCs w:val="22"/>
              </w:rPr>
              <w:t>1.75</w:t>
            </w:r>
          </w:p>
        </w:tc>
        <w:tc>
          <w:tcPr>
            <w:tcW w:w="1134" w:type="dxa"/>
            <w:vAlign w:val="top"/>
          </w:tcPr>
          <w:p>
            <w:pPr>
              <w:pStyle w:val="16"/>
            </w:pPr>
            <w:r>
              <w:rPr>
                <w:rFonts w:ascii="Calibri" w:hAnsi="Calibri" w:cs="Calibri"/>
                <w:color w:val="000000"/>
                <w:sz w:val="22"/>
                <w:szCs w:val="22"/>
              </w:rPr>
              <w:t>1.75</w:t>
            </w:r>
          </w:p>
        </w:tc>
        <w:tc>
          <w:tcPr>
            <w:tcW w:w="1134" w:type="dxa"/>
            <w:vAlign w:val="top"/>
          </w:tcPr>
          <w:p>
            <w:pPr>
              <w:pStyle w:val="16"/>
            </w:pPr>
            <w:r>
              <w:rPr>
                <w:rFonts w:ascii="Calibri" w:hAnsi="Calibri" w:cs="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w:t>
            </w:r>
            <w:r>
              <w:rPr>
                <w:rFonts w:hint="eastAsia" w:ascii="Calibri" w:hAnsi="Calibri" w:cs="Calibri"/>
                <w:color w:val="000000"/>
                <w:sz w:val="22"/>
                <w:szCs w:val="22"/>
                <w:lang w:val="en-US" w:eastAsia="zh-CN"/>
              </w:rPr>
              <w:t>70199</w:t>
            </w:r>
          </w:p>
        </w:tc>
        <w:tc>
          <w:tcPr>
            <w:tcW w:w="1559" w:type="dxa"/>
            <w:vAlign w:val="top"/>
          </w:tcPr>
          <w:p>
            <w:pPr>
              <w:pStyle w:val="17"/>
              <w:rPr>
                <w:rFonts w:ascii="Calibri" w:hAnsi="Calibri" w:cs="宋体"/>
                <w:color w:val="000000"/>
                <w:sz w:val="22"/>
                <w:szCs w:val="22"/>
              </w:rPr>
            </w:pPr>
            <w:r>
              <w:rPr>
                <w:rFonts w:hint="eastAsia" w:ascii="Calibri" w:hAnsi="Calibri" w:cs="Calibri"/>
                <w:color w:val="000000"/>
                <w:sz w:val="22"/>
                <w:szCs w:val="22"/>
                <w:lang w:val="en-US" w:eastAsia="zh-CN"/>
              </w:rPr>
              <w:t>其他文化和旅游支出</w:t>
            </w:r>
          </w:p>
        </w:tc>
        <w:tc>
          <w:tcPr>
            <w:tcW w:w="1134" w:type="dxa"/>
            <w:vAlign w:val="top"/>
          </w:tcPr>
          <w:p>
            <w:pPr>
              <w:pStyle w:val="16"/>
            </w:pPr>
            <w:r>
              <w:rPr>
                <w:rFonts w:ascii="Calibri" w:hAnsi="Calibri" w:cs="Calibri"/>
                <w:color w:val="000000"/>
                <w:sz w:val="22"/>
                <w:szCs w:val="22"/>
              </w:rPr>
              <w:t>1.75</w:t>
            </w:r>
          </w:p>
        </w:tc>
        <w:tc>
          <w:tcPr>
            <w:tcW w:w="1134" w:type="dxa"/>
            <w:vAlign w:val="top"/>
          </w:tcPr>
          <w:p>
            <w:pPr>
              <w:pStyle w:val="16"/>
            </w:pPr>
            <w:r>
              <w:rPr>
                <w:rFonts w:ascii="Calibri" w:hAnsi="Calibri" w:cs="Calibri"/>
                <w:color w:val="000000"/>
                <w:sz w:val="22"/>
                <w:szCs w:val="22"/>
              </w:rPr>
              <w:t>1.75</w:t>
            </w:r>
          </w:p>
        </w:tc>
        <w:tc>
          <w:tcPr>
            <w:tcW w:w="1134" w:type="dxa"/>
            <w:vAlign w:val="top"/>
          </w:tcPr>
          <w:p>
            <w:pPr>
              <w:pStyle w:val="16"/>
            </w:pPr>
            <w:r>
              <w:rPr>
                <w:rFonts w:ascii="Calibri" w:hAnsi="Calibri" w:cs="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208</w:t>
            </w:r>
          </w:p>
        </w:tc>
        <w:tc>
          <w:tcPr>
            <w:tcW w:w="1559" w:type="dxa"/>
            <w:vAlign w:val="top"/>
          </w:tcPr>
          <w:p>
            <w:pPr>
              <w:pStyle w:val="17"/>
              <w:rPr>
                <w:rFonts w:ascii="Calibri" w:hAnsi="Calibri" w:cs="宋体"/>
                <w:color w:val="000000"/>
                <w:sz w:val="22"/>
                <w:szCs w:val="22"/>
              </w:rPr>
            </w:pPr>
            <w:r>
              <w:rPr>
                <w:rFonts w:hint="eastAsia" w:ascii="Calibri" w:hAnsi="Calibri" w:cs="Calibri"/>
                <w:color w:val="000000"/>
                <w:sz w:val="22"/>
                <w:szCs w:val="22"/>
                <w:lang w:val="en-US" w:eastAsia="zh-CN"/>
              </w:rPr>
              <w:t>社会保障和就业支出</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top"/>
          </w:tcPr>
          <w:p>
            <w:pPr>
              <w:pStyle w:val="17"/>
              <w:rPr>
                <w:rFonts w:ascii="Calibri" w:hAnsi="Calibri" w:cs="宋体"/>
                <w:color w:val="000000"/>
                <w:sz w:val="22"/>
                <w:szCs w:val="22"/>
              </w:rPr>
            </w:pPr>
            <w:r>
              <w:rPr>
                <w:rFonts w:ascii="Calibri" w:hAnsi="Calibri" w:cs="Calibri"/>
                <w:color w:val="000000"/>
                <w:sz w:val="22"/>
                <w:szCs w:val="22"/>
              </w:rPr>
              <w:t>2</w:t>
            </w:r>
            <w:r>
              <w:rPr>
                <w:rFonts w:hint="eastAsia" w:ascii="Calibri" w:hAnsi="Calibri" w:cs="Calibri"/>
                <w:color w:val="000000"/>
                <w:sz w:val="22"/>
                <w:szCs w:val="22"/>
                <w:lang w:val="en-US" w:eastAsia="zh-CN"/>
              </w:rPr>
              <w:t>0805</w:t>
            </w:r>
          </w:p>
        </w:tc>
        <w:tc>
          <w:tcPr>
            <w:tcW w:w="1559" w:type="dxa"/>
            <w:vAlign w:val="top"/>
          </w:tcPr>
          <w:p>
            <w:pPr>
              <w:pStyle w:val="17"/>
              <w:rPr>
                <w:rFonts w:ascii="Calibri" w:hAnsi="Calibri" w:cs="宋体"/>
                <w:color w:val="000000"/>
                <w:sz w:val="22"/>
                <w:szCs w:val="22"/>
              </w:rPr>
            </w:pPr>
            <w:r>
              <w:rPr>
                <w:rFonts w:hint="eastAsia" w:ascii="Calibri" w:hAnsi="Calibri" w:cs="Calibri"/>
                <w:color w:val="000000"/>
                <w:sz w:val="22"/>
                <w:szCs w:val="22"/>
                <w:lang w:val="en-US" w:eastAsia="zh-CN"/>
              </w:rPr>
              <w:t>行政事业单位养老支出</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pPr>
            <w:r>
              <w:rPr>
                <w:rFonts w:ascii="Calibri" w:hAnsi="Calibri" w:cs="Calibri"/>
                <w:color w:val="000000"/>
                <w:sz w:val="22"/>
                <w:szCs w:val="22"/>
              </w:rPr>
              <w:t>13</w:t>
            </w:r>
          </w:p>
        </w:tc>
        <w:tc>
          <w:tcPr>
            <w:tcW w:w="992" w:type="dxa"/>
            <w:vAlign w:val="top"/>
          </w:tcPr>
          <w:p>
            <w:pPr>
              <w:pStyle w:val="17"/>
            </w:pPr>
            <w:r>
              <w:rPr>
                <w:rFonts w:ascii="Calibri" w:hAnsi="Calibri" w:cs="Calibri"/>
                <w:color w:val="000000"/>
                <w:sz w:val="22"/>
                <w:szCs w:val="22"/>
              </w:rPr>
              <w:t>2</w:t>
            </w:r>
            <w:r>
              <w:rPr>
                <w:rFonts w:hint="eastAsia" w:ascii="Calibri" w:hAnsi="Calibri" w:cs="Calibri"/>
                <w:color w:val="000000"/>
                <w:sz w:val="22"/>
                <w:szCs w:val="22"/>
                <w:lang w:val="en-US" w:eastAsia="zh-CN"/>
              </w:rPr>
              <w:t>080505</w:t>
            </w:r>
          </w:p>
        </w:tc>
        <w:tc>
          <w:tcPr>
            <w:tcW w:w="1559" w:type="dxa"/>
            <w:vAlign w:val="top"/>
          </w:tcPr>
          <w:p>
            <w:pPr>
              <w:pStyle w:val="17"/>
            </w:pPr>
            <w:r>
              <w:rPr>
                <w:rFonts w:hint="eastAsia" w:ascii="Calibri" w:hAnsi="Calibri" w:cs="Calibri"/>
                <w:color w:val="000000"/>
                <w:sz w:val="22"/>
                <w:szCs w:val="22"/>
                <w:lang w:val="en-US" w:eastAsia="zh-CN"/>
              </w:rPr>
              <w:t>机关事业单位基本养老保险缴费支出</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top"/>
          </w:tcPr>
          <w:p>
            <w:pPr>
              <w:pStyle w:val="16"/>
            </w:pPr>
            <w:r>
              <w:rPr>
                <w:rFonts w:hint="eastAsia" w:ascii="Calibri" w:hAnsi="Calibri" w:cs="Calibri"/>
                <w:color w:val="000000"/>
                <w:sz w:val="22"/>
                <w:szCs w:val="22"/>
                <w:lang w:val="en-US" w:eastAsia="zh-CN"/>
              </w:rPr>
              <w:t>41.34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pPr>
            <w:r>
              <w:rPr>
                <w:rFonts w:ascii="Calibri" w:hAnsi="Calibri" w:cs="Calibri"/>
                <w:color w:val="000000"/>
                <w:sz w:val="22"/>
                <w:szCs w:val="22"/>
              </w:rPr>
              <w:t>14</w:t>
            </w:r>
          </w:p>
        </w:tc>
        <w:tc>
          <w:tcPr>
            <w:tcW w:w="992" w:type="dxa"/>
            <w:vAlign w:val="top"/>
          </w:tcPr>
          <w:p>
            <w:pPr>
              <w:pStyle w:val="17"/>
            </w:pPr>
            <w:r>
              <w:rPr>
                <w:rFonts w:ascii="Calibri" w:hAnsi="Calibri" w:cs="Calibri"/>
                <w:color w:val="000000"/>
                <w:sz w:val="22"/>
                <w:szCs w:val="22"/>
              </w:rPr>
              <w:t>210</w:t>
            </w:r>
          </w:p>
        </w:tc>
        <w:tc>
          <w:tcPr>
            <w:tcW w:w="1559" w:type="dxa"/>
            <w:vAlign w:val="top"/>
          </w:tcPr>
          <w:p>
            <w:pPr>
              <w:pStyle w:val="17"/>
            </w:pPr>
            <w:r>
              <w:rPr>
                <w:rFonts w:hint="eastAsia"/>
                <w:lang w:val="en-US" w:eastAsia="zh-CN"/>
              </w:rPr>
              <w:t>卫生健康支出</w:t>
            </w:r>
          </w:p>
        </w:tc>
        <w:tc>
          <w:tcPr>
            <w:tcW w:w="1134" w:type="dxa"/>
            <w:vAlign w:val="top"/>
          </w:tcPr>
          <w:p>
            <w:pPr>
              <w:pStyle w:val="16"/>
            </w:pPr>
            <w:r>
              <w:rPr>
                <w:rFonts w:hint="eastAsia" w:ascii="Calibri" w:hAnsi="Calibri" w:cs="Calibri"/>
                <w:color w:val="000000"/>
                <w:sz w:val="22"/>
                <w:szCs w:val="22"/>
                <w:lang w:val="en-US" w:eastAsia="zh-CN"/>
              </w:rPr>
              <w:t>24.21</w:t>
            </w:r>
          </w:p>
        </w:tc>
        <w:tc>
          <w:tcPr>
            <w:tcW w:w="1134" w:type="dxa"/>
            <w:vAlign w:val="top"/>
          </w:tcPr>
          <w:p>
            <w:pPr>
              <w:pStyle w:val="16"/>
            </w:pPr>
            <w:r>
              <w:rPr>
                <w:rFonts w:hint="eastAsia" w:ascii="Calibri" w:hAnsi="Calibri" w:cs="Calibri"/>
                <w:color w:val="000000"/>
                <w:sz w:val="22"/>
                <w:szCs w:val="22"/>
                <w:lang w:val="en-US" w:eastAsia="zh-CN"/>
              </w:rPr>
              <w:t>24.21</w:t>
            </w:r>
          </w:p>
        </w:tc>
        <w:tc>
          <w:tcPr>
            <w:tcW w:w="1134" w:type="dxa"/>
            <w:vAlign w:val="top"/>
          </w:tcPr>
          <w:p>
            <w:pPr>
              <w:pStyle w:val="16"/>
            </w:pPr>
            <w:r>
              <w:rPr>
                <w:rFonts w:hint="eastAsia" w:ascii="Calibri" w:hAnsi="Calibri" w:cs="Calibri"/>
                <w:color w:val="000000"/>
                <w:sz w:val="22"/>
                <w:szCs w:val="22"/>
                <w:lang w:val="en-US" w:eastAsia="zh-CN"/>
              </w:rPr>
              <w:t>24.21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pPr>
            <w:r>
              <w:rPr>
                <w:rFonts w:ascii="Calibri" w:hAnsi="Calibri" w:cs="Calibri"/>
                <w:color w:val="000000"/>
                <w:sz w:val="22"/>
                <w:szCs w:val="22"/>
              </w:rPr>
              <w:t>15</w:t>
            </w:r>
          </w:p>
        </w:tc>
        <w:tc>
          <w:tcPr>
            <w:tcW w:w="992" w:type="dxa"/>
            <w:vAlign w:val="top"/>
          </w:tcPr>
          <w:p>
            <w:pPr>
              <w:pStyle w:val="17"/>
            </w:pPr>
            <w:r>
              <w:rPr>
                <w:rFonts w:ascii="Calibri" w:hAnsi="Calibri" w:cs="Calibri"/>
                <w:color w:val="000000"/>
                <w:sz w:val="22"/>
                <w:szCs w:val="22"/>
              </w:rPr>
              <w:t>21011</w:t>
            </w:r>
          </w:p>
        </w:tc>
        <w:tc>
          <w:tcPr>
            <w:tcW w:w="1559" w:type="dxa"/>
            <w:vAlign w:val="top"/>
          </w:tcPr>
          <w:p>
            <w:pPr>
              <w:pStyle w:val="17"/>
            </w:pPr>
            <w:r>
              <w:rPr>
                <w:rFonts w:hint="eastAsia" w:ascii="Calibri" w:hAnsi="Calibri" w:cs="Calibri"/>
                <w:color w:val="000000"/>
                <w:sz w:val="22"/>
                <w:szCs w:val="22"/>
                <w:lang w:val="en-US" w:eastAsia="zh-CN"/>
              </w:rPr>
              <w:t>行政事业单位医疗</w:t>
            </w:r>
          </w:p>
        </w:tc>
        <w:tc>
          <w:tcPr>
            <w:tcW w:w="1134" w:type="dxa"/>
            <w:vAlign w:val="top"/>
          </w:tcPr>
          <w:p>
            <w:pPr>
              <w:pStyle w:val="16"/>
            </w:pPr>
            <w:r>
              <w:rPr>
                <w:rFonts w:hint="eastAsia" w:ascii="Calibri" w:hAnsi="Calibri" w:cs="Calibri"/>
                <w:color w:val="000000"/>
                <w:sz w:val="22"/>
                <w:szCs w:val="22"/>
                <w:lang w:val="en-US" w:eastAsia="zh-CN"/>
              </w:rPr>
              <w:t>24.21</w:t>
            </w:r>
          </w:p>
        </w:tc>
        <w:tc>
          <w:tcPr>
            <w:tcW w:w="1134" w:type="dxa"/>
            <w:vAlign w:val="top"/>
          </w:tcPr>
          <w:p>
            <w:pPr>
              <w:pStyle w:val="16"/>
            </w:pPr>
            <w:r>
              <w:rPr>
                <w:rFonts w:hint="eastAsia" w:ascii="Calibri" w:hAnsi="Calibri" w:cs="Calibri"/>
                <w:color w:val="000000"/>
                <w:sz w:val="22"/>
                <w:szCs w:val="22"/>
                <w:lang w:val="en-US" w:eastAsia="zh-CN"/>
              </w:rPr>
              <w:t>24.21</w:t>
            </w:r>
          </w:p>
        </w:tc>
        <w:tc>
          <w:tcPr>
            <w:tcW w:w="1134" w:type="dxa"/>
            <w:vAlign w:val="top"/>
          </w:tcPr>
          <w:p>
            <w:pPr>
              <w:pStyle w:val="16"/>
            </w:pPr>
            <w:r>
              <w:rPr>
                <w:rFonts w:hint="eastAsia" w:ascii="Calibri" w:hAnsi="Calibri" w:cs="Calibri"/>
                <w:color w:val="000000"/>
                <w:sz w:val="22"/>
                <w:szCs w:val="22"/>
                <w:lang w:val="en-US" w:eastAsia="zh-CN"/>
              </w:rPr>
              <w:t>24.21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pPr>
            <w:r>
              <w:rPr>
                <w:rFonts w:ascii="Calibri" w:hAnsi="Calibri" w:cs="Calibri"/>
                <w:color w:val="000000"/>
                <w:sz w:val="22"/>
                <w:szCs w:val="22"/>
              </w:rPr>
              <w:t>16</w:t>
            </w:r>
          </w:p>
        </w:tc>
        <w:tc>
          <w:tcPr>
            <w:tcW w:w="992" w:type="dxa"/>
            <w:vAlign w:val="top"/>
          </w:tcPr>
          <w:p>
            <w:pPr>
              <w:pStyle w:val="17"/>
            </w:pPr>
            <w:r>
              <w:rPr>
                <w:rFonts w:ascii="Calibri" w:hAnsi="Calibri" w:cs="Calibri"/>
                <w:color w:val="000000"/>
                <w:sz w:val="22"/>
                <w:szCs w:val="22"/>
              </w:rPr>
              <w:t>2</w:t>
            </w:r>
            <w:r>
              <w:rPr>
                <w:rFonts w:hint="eastAsia" w:ascii="Calibri" w:hAnsi="Calibri" w:cs="Calibri"/>
                <w:color w:val="000000"/>
                <w:sz w:val="22"/>
                <w:szCs w:val="22"/>
                <w:lang w:val="en-US" w:eastAsia="zh-CN"/>
              </w:rPr>
              <w:t>101101</w:t>
            </w:r>
          </w:p>
        </w:tc>
        <w:tc>
          <w:tcPr>
            <w:tcW w:w="1559" w:type="dxa"/>
            <w:vAlign w:val="top"/>
          </w:tcPr>
          <w:p>
            <w:pPr>
              <w:pStyle w:val="17"/>
            </w:pPr>
            <w:r>
              <w:rPr>
                <w:rFonts w:hint="eastAsia" w:ascii="Calibri" w:hAnsi="Calibri" w:cs="Calibri"/>
                <w:color w:val="000000"/>
                <w:sz w:val="22"/>
                <w:szCs w:val="22"/>
                <w:lang w:val="en-US" w:eastAsia="zh-CN"/>
              </w:rPr>
              <w:t>行政单位医疗</w:t>
            </w:r>
          </w:p>
        </w:tc>
        <w:tc>
          <w:tcPr>
            <w:tcW w:w="1134" w:type="dxa"/>
            <w:vAlign w:val="top"/>
          </w:tcPr>
          <w:p>
            <w:pPr>
              <w:pStyle w:val="16"/>
            </w:pPr>
            <w:r>
              <w:rPr>
                <w:rFonts w:ascii="Calibri" w:hAnsi="Calibri" w:cs="Calibri"/>
                <w:color w:val="000000"/>
                <w:sz w:val="22"/>
                <w:szCs w:val="22"/>
              </w:rPr>
              <w:t>18.</w:t>
            </w:r>
            <w:r>
              <w:rPr>
                <w:rFonts w:hint="eastAsia" w:ascii="Calibri" w:hAnsi="Calibri" w:cs="Calibri"/>
                <w:color w:val="000000"/>
                <w:sz w:val="22"/>
                <w:szCs w:val="22"/>
                <w:lang w:val="en-US" w:eastAsia="zh-CN"/>
              </w:rPr>
              <w:t>44</w:t>
            </w:r>
          </w:p>
        </w:tc>
        <w:tc>
          <w:tcPr>
            <w:tcW w:w="1134" w:type="dxa"/>
            <w:vAlign w:val="top"/>
          </w:tcPr>
          <w:p>
            <w:pPr>
              <w:pStyle w:val="16"/>
            </w:pPr>
            <w:r>
              <w:rPr>
                <w:rFonts w:ascii="Calibri" w:hAnsi="Calibri" w:cs="Calibri"/>
                <w:color w:val="000000"/>
                <w:sz w:val="22"/>
                <w:szCs w:val="22"/>
              </w:rPr>
              <w:t>18.</w:t>
            </w:r>
            <w:r>
              <w:rPr>
                <w:rFonts w:hint="eastAsia" w:ascii="Calibri" w:hAnsi="Calibri" w:cs="Calibri"/>
                <w:color w:val="000000"/>
                <w:sz w:val="22"/>
                <w:szCs w:val="22"/>
                <w:lang w:val="en-US" w:eastAsia="zh-CN"/>
              </w:rPr>
              <w:t>44</w:t>
            </w:r>
          </w:p>
        </w:tc>
        <w:tc>
          <w:tcPr>
            <w:tcW w:w="1134" w:type="dxa"/>
            <w:vAlign w:val="top"/>
          </w:tcPr>
          <w:p>
            <w:pPr>
              <w:pStyle w:val="16"/>
            </w:pPr>
            <w:r>
              <w:rPr>
                <w:rFonts w:ascii="Calibri" w:hAnsi="Calibri" w:cs="Calibri"/>
                <w:color w:val="000000"/>
                <w:sz w:val="22"/>
                <w:szCs w:val="22"/>
              </w:rPr>
              <w:t>18.</w:t>
            </w:r>
            <w:r>
              <w:rPr>
                <w:rFonts w:hint="eastAsia" w:ascii="Calibri" w:hAnsi="Calibri" w:cs="Calibri"/>
                <w:color w:val="000000"/>
                <w:sz w:val="22"/>
                <w:szCs w:val="22"/>
                <w:lang w:val="en-US" w:eastAsia="zh-CN"/>
              </w:rPr>
              <w:t>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pPr>
            <w:r>
              <w:rPr>
                <w:rFonts w:ascii="Calibri" w:hAnsi="Calibri" w:cs="Calibri"/>
                <w:color w:val="000000"/>
                <w:sz w:val="22"/>
                <w:szCs w:val="22"/>
              </w:rPr>
              <w:t>17</w:t>
            </w:r>
          </w:p>
        </w:tc>
        <w:tc>
          <w:tcPr>
            <w:tcW w:w="992" w:type="dxa"/>
            <w:vAlign w:val="top"/>
          </w:tcPr>
          <w:p>
            <w:pPr>
              <w:pStyle w:val="17"/>
            </w:pPr>
            <w:r>
              <w:rPr>
                <w:rFonts w:ascii="Calibri" w:hAnsi="Calibri" w:cs="Calibri"/>
                <w:color w:val="000000"/>
                <w:sz w:val="22"/>
                <w:szCs w:val="22"/>
              </w:rPr>
              <w:t>2</w:t>
            </w:r>
            <w:r>
              <w:rPr>
                <w:rFonts w:hint="eastAsia" w:ascii="Calibri" w:hAnsi="Calibri" w:cs="Calibri"/>
                <w:color w:val="000000"/>
                <w:sz w:val="22"/>
                <w:szCs w:val="22"/>
                <w:lang w:val="en-US" w:eastAsia="zh-CN"/>
              </w:rPr>
              <w:t>101103</w:t>
            </w:r>
          </w:p>
        </w:tc>
        <w:tc>
          <w:tcPr>
            <w:tcW w:w="1559" w:type="dxa"/>
            <w:vAlign w:val="top"/>
          </w:tcPr>
          <w:p>
            <w:pPr>
              <w:pStyle w:val="17"/>
            </w:pPr>
            <w:r>
              <w:rPr>
                <w:rFonts w:hint="eastAsia"/>
                <w:lang w:val="en-US" w:eastAsia="zh-CN"/>
              </w:rPr>
              <w:t>公务员医疗补助</w:t>
            </w:r>
          </w:p>
        </w:tc>
        <w:tc>
          <w:tcPr>
            <w:tcW w:w="1134" w:type="dxa"/>
            <w:vAlign w:val="top"/>
          </w:tcPr>
          <w:p>
            <w:pPr>
              <w:pStyle w:val="16"/>
            </w:pPr>
            <w:r>
              <w:rPr>
                <w:rFonts w:hint="eastAsia" w:ascii="Calibri" w:hAnsi="Calibri" w:cs="Calibri"/>
                <w:color w:val="000000"/>
                <w:sz w:val="22"/>
                <w:szCs w:val="22"/>
                <w:lang w:val="en-US" w:eastAsia="zh-CN"/>
              </w:rPr>
              <w:t>5.77</w:t>
            </w:r>
          </w:p>
        </w:tc>
        <w:tc>
          <w:tcPr>
            <w:tcW w:w="1134" w:type="dxa"/>
            <w:vAlign w:val="top"/>
          </w:tcPr>
          <w:p>
            <w:pPr>
              <w:pStyle w:val="16"/>
            </w:pPr>
            <w:r>
              <w:rPr>
                <w:rFonts w:hint="eastAsia" w:ascii="Calibri" w:hAnsi="Calibri" w:cs="Calibri"/>
                <w:color w:val="000000"/>
                <w:sz w:val="22"/>
                <w:szCs w:val="22"/>
                <w:lang w:val="en-US" w:eastAsia="zh-CN"/>
              </w:rPr>
              <w:t>5.77</w:t>
            </w:r>
          </w:p>
        </w:tc>
        <w:tc>
          <w:tcPr>
            <w:tcW w:w="1134" w:type="dxa"/>
            <w:vAlign w:val="top"/>
          </w:tcPr>
          <w:p>
            <w:pPr>
              <w:pStyle w:val="16"/>
            </w:pPr>
            <w:r>
              <w:rPr>
                <w:rFonts w:hint="eastAsia" w:ascii="Calibri" w:hAnsi="Calibri" w:cs="Calibri"/>
                <w:color w:val="000000"/>
                <w:sz w:val="22"/>
                <w:szCs w:val="22"/>
                <w:lang w:val="en-US" w:eastAsia="zh-CN"/>
              </w:rPr>
              <w:t>5.77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pPr>
            <w:r>
              <w:rPr>
                <w:rFonts w:ascii="Calibri" w:hAnsi="Calibri" w:cs="Calibri"/>
                <w:color w:val="000000"/>
                <w:sz w:val="22"/>
                <w:szCs w:val="22"/>
              </w:rPr>
              <w:t>18</w:t>
            </w:r>
          </w:p>
        </w:tc>
        <w:tc>
          <w:tcPr>
            <w:tcW w:w="992" w:type="dxa"/>
            <w:vAlign w:val="top"/>
          </w:tcPr>
          <w:p>
            <w:pPr>
              <w:pStyle w:val="17"/>
            </w:pPr>
            <w:r>
              <w:rPr>
                <w:rFonts w:ascii="Calibri" w:hAnsi="Calibri" w:cs="Calibri"/>
                <w:color w:val="000000"/>
                <w:sz w:val="22"/>
                <w:szCs w:val="22"/>
              </w:rPr>
              <w:t>22</w:t>
            </w:r>
            <w:r>
              <w:rPr>
                <w:rFonts w:hint="eastAsia" w:ascii="Calibri" w:hAnsi="Calibri" w:cs="Calibri"/>
                <w:color w:val="000000"/>
                <w:sz w:val="22"/>
                <w:szCs w:val="22"/>
                <w:lang w:val="en-US" w:eastAsia="zh-CN"/>
              </w:rPr>
              <w:t>1</w:t>
            </w:r>
          </w:p>
        </w:tc>
        <w:tc>
          <w:tcPr>
            <w:tcW w:w="1559" w:type="dxa"/>
            <w:vAlign w:val="top"/>
          </w:tcPr>
          <w:p>
            <w:pPr>
              <w:pStyle w:val="17"/>
            </w:pPr>
            <w:r>
              <w:rPr>
                <w:rFonts w:hint="eastAsia" w:ascii="Calibri" w:hAnsi="Calibri" w:cs="Calibri"/>
                <w:color w:val="000000"/>
                <w:sz w:val="22"/>
                <w:szCs w:val="22"/>
                <w:lang w:val="en-US" w:eastAsia="zh-CN"/>
              </w:rPr>
              <w:t>住房保障支出</w:t>
            </w:r>
          </w:p>
        </w:tc>
        <w:tc>
          <w:tcPr>
            <w:tcW w:w="1134" w:type="dxa"/>
            <w:vAlign w:val="top"/>
          </w:tcPr>
          <w:p>
            <w:pPr>
              <w:pStyle w:val="16"/>
            </w:pPr>
            <w:r>
              <w:rPr>
                <w:rFonts w:hint="eastAsia" w:ascii="Calibri" w:hAnsi="Calibri" w:cs="Calibri"/>
                <w:color w:val="000000"/>
                <w:sz w:val="22"/>
                <w:szCs w:val="22"/>
                <w:lang w:val="en-US" w:eastAsia="zh-CN"/>
              </w:rPr>
              <w:t>30.25</w:t>
            </w:r>
          </w:p>
        </w:tc>
        <w:tc>
          <w:tcPr>
            <w:tcW w:w="1134" w:type="dxa"/>
            <w:vAlign w:val="top"/>
          </w:tcPr>
          <w:p>
            <w:pPr>
              <w:pStyle w:val="16"/>
            </w:pPr>
            <w:r>
              <w:rPr>
                <w:rFonts w:hint="eastAsia" w:ascii="Calibri" w:hAnsi="Calibri" w:cs="Calibri"/>
                <w:color w:val="000000"/>
                <w:sz w:val="22"/>
                <w:szCs w:val="22"/>
                <w:lang w:val="en-US" w:eastAsia="zh-CN"/>
              </w:rPr>
              <w:t>30.25</w:t>
            </w:r>
          </w:p>
        </w:tc>
        <w:tc>
          <w:tcPr>
            <w:tcW w:w="1134" w:type="dxa"/>
            <w:vAlign w:val="top"/>
          </w:tcPr>
          <w:p>
            <w:pPr>
              <w:pStyle w:val="16"/>
            </w:pPr>
            <w:r>
              <w:rPr>
                <w:rFonts w:hint="eastAsia" w:ascii="Calibri" w:hAnsi="Calibri" w:cs="Calibri"/>
                <w:color w:val="000000"/>
                <w:sz w:val="22"/>
                <w:szCs w:val="22"/>
                <w:lang w:val="en-US" w:eastAsia="zh-CN"/>
              </w:rPr>
              <w:t>30.25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rPr>
                <w:rFonts w:ascii="Calibri" w:hAnsi="Calibri" w:cs="Calibri"/>
                <w:color w:val="000000"/>
                <w:sz w:val="22"/>
                <w:szCs w:val="22"/>
              </w:rPr>
            </w:pPr>
            <w:r>
              <w:rPr>
                <w:rFonts w:hint="eastAsia" w:ascii="Calibri" w:hAnsi="Calibri" w:cs="Calibri"/>
                <w:color w:val="000000"/>
                <w:sz w:val="22"/>
                <w:szCs w:val="22"/>
                <w:lang w:val="en-US" w:eastAsia="zh-CN"/>
              </w:rPr>
              <w:t>19</w:t>
            </w:r>
          </w:p>
        </w:tc>
        <w:tc>
          <w:tcPr>
            <w:tcW w:w="992" w:type="dxa"/>
            <w:vAlign w:val="top"/>
          </w:tcPr>
          <w:p>
            <w:pPr>
              <w:pStyle w:val="17"/>
              <w:rPr>
                <w:rFonts w:ascii="Calibri" w:hAnsi="Calibri" w:cs="Calibri"/>
                <w:color w:val="000000"/>
                <w:sz w:val="22"/>
                <w:szCs w:val="22"/>
              </w:rPr>
            </w:pPr>
            <w:r>
              <w:rPr>
                <w:rFonts w:hint="eastAsia" w:ascii="Calibri" w:hAnsi="Calibri" w:cs="Calibri"/>
                <w:color w:val="000000"/>
                <w:sz w:val="22"/>
                <w:szCs w:val="22"/>
                <w:lang w:val="en-US" w:eastAsia="zh-CN"/>
              </w:rPr>
              <w:t>22102</w:t>
            </w:r>
          </w:p>
        </w:tc>
        <w:tc>
          <w:tcPr>
            <w:tcW w:w="1559" w:type="dxa"/>
            <w:vAlign w:val="top"/>
          </w:tcPr>
          <w:p>
            <w:pPr>
              <w:pStyle w:val="17"/>
              <w:rPr>
                <w:rFonts w:ascii="Calibri" w:hAnsi="Calibri" w:cs="Calibri"/>
                <w:color w:val="000000"/>
                <w:sz w:val="22"/>
                <w:szCs w:val="22"/>
              </w:rPr>
            </w:pPr>
            <w:r>
              <w:rPr>
                <w:rFonts w:hint="eastAsia" w:ascii="Calibri" w:hAnsi="Calibri" w:cs="Calibri"/>
                <w:color w:val="000000"/>
                <w:sz w:val="22"/>
                <w:szCs w:val="22"/>
                <w:lang w:val="en-US" w:eastAsia="zh-CN"/>
              </w:rPr>
              <w:t>住房改革支出</w:t>
            </w:r>
          </w:p>
        </w:tc>
        <w:tc>
          <w:tcPr>
            <w:tcW w:w="1134" w:type="dxa"/>
            <w:vAlign w:val="top"/>
          </w:tcPr>
          <w:p>
            <w:pPr>
              <w:pStyle w:val="16"/>
              <w:rPr>
                <w:rFonts w:ascii="Calibri" w:hAnsi="Calibri" w:cs="Calibri"/>
                <w:color w:val="000000"/>
                <w:sz w:val="22"/>
                <w:szCs w:val="22"/>
              </w:rPr>
            </w:pPr>
            <w:r>
              <w:rPr>
                <w:rFonts w:hint="eastAsia" w:ascii="Calibri" w:hAnsi="Calibri" w:cs="Calibri"/>
                <w:color w:val="000000"/>
                <w:sz w:val="22"/>
                <w:szCs w:val="22"/>
                <w:lang w:val="en-US" w:eastAsia="zh-CN"/>
              </w:rPr>
              <w:t>30.25</w:t>
            </w:r>
          </w:p>
        </w:tc>
        <w:tc>
          <w:tcPr>
            <w:tcW w:w="1134" w:type="dxa"/>
            <w:vAlign w:val="top"/>
          </w:tcPr>
          <w:p>
            <w:pPr>
              <w:pStyle w:val="16"/>
              <w:rPr>
                <w:rFonts w:ascii="Calibri" w:hAnsi="Calibri" w:cs="Calibri"/>
                <w:color w:val="000000"/>
                <w:sz w:val="22"/>
                <w:szCs w:val="22"/>
              </w:rPr>
            </w:pPr>
            <w:r>
              <w:rPr>
                <w:rFonts w:hint="eastAsia" w:ascii="Calibri" w:hAnsi="Calibri" w:cs="Calibri"/>
                <w:color w:val="000000"/>
                <w:sz w:val="22"/>
                <w:szCs w:val="22"/>
                <w:lang w:val="en-US" w:eastAsia="zh-CN"/>
              </w:rPr>
              <w:t>30.25</w:t>
            </w:r>
          </w:p>
        </w:tc>
        <w:tc>
          <w:tcPr>
            <w:tcW w:w="1134" w:type="dxa"/>
            <w:vAlign w:val="top"/>
          </w:tcPr>
          <w:p>
            <w:pPr>
              <w:pStyle w:val="16"/>
              <w:rPr>
                <w:rFonts w:ascii="Calibri" w:hAnsi="Calibri" w:cs="Calibri"/>
                <w:color w:val="000000"/>
                <w:sz w:val="22"/>
                <w:szCs w:val="22"/>
              </w:rPr>
            </w:pPr>
            <w:r>
              <w:rPr>
                <w:rFonts w:hint="eastAsia" w:ascii="Calibri" w:hAnsi="Calibri" w:cs="Calibri"/>
                <w:color w:val="000000"/>
                <w:sz w:val="22"/>
                <w:szCs w:val="22"/>
                <w:lang w:val="en-US" w:eastAsia="zh-CN"/>
              </w:rPr>
              <w:t>30.25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pStyle w:val="18"/>
              <w:rPr>
                <w:rFonts w:ascii="Calibri" w:hAnsi="Calibri" w:cs="Calibri"/>
                <w:color w:val="000000"/>
                <w:sz w:val="22"/>
                <w:szCs w:val="22"/>
              </w:rPr>
            </w:pPr>
            <w:r>
              <w:rPr>
                <w:rFonts w:hint="eastAsia" w:ascii="Calibri" w:hAnsi="Calibri" w:cs="Calibri"/>
                <w:color w:val="000000"/>
                <w:sz w:val="22"/>
                <w:szCs w:val="22"/>
                <w:lang w:val="en-US" w:eastAsia="zh-CN"/>
              </w:rPr>
              <w:t>20</w:t>
            </w:r>
          </w:p>
        </w:tc>
        <w:tc>
          <w:tcPr>
            <w:tcW w:w="992" w:type="dxa"/>
            <w:vAlign w:val="top"/>
          </w:tcPr>
          <w:p>
            <w:pPr>
              <w:pStyle w:val="17"/>
              <w:rPr>
                <w:rFonts w:ascii="Calibri" w:hAnsi="Calibri" w:cs="Calibri"/>
                <w:color w:val="000000"/>
                <w:sz w:val="22"/>
                <w:szCs w:val="22"/>
              </w:rPr>
            </w:pPr>
            <w:r>
              <w:rPr>
                <w:rFonts w:hint="eastAsia" w:ascii="Calibri" w:hAnsi="Calibri" w:cs="Calibri"/>
                <w:color w:val="000000"/>
                <w:sz w:val="22"/>
                <w:szCs w:val="22"/>
                <w:lang w:val="en-US" w:eastAsia="zh-CN"/>
              </w:rPr>
              <w:t>2210201</w:t>
            </w:r>
          </w:p>
        </w:tc>
        <w:tc>
          <w:tcPr>
            <w:tcW w:w="1559" w:type="dxa"/>
            <w:vAlign w:val="top"/>
          </w:tcPr>
          <w:p>
            <w:pPr>
              <w:pStyle w:val="17"/>
              <w:rPr>
                <w:rFonts w:ascii="Calibri" w:hAnsi="Calibri" w:cs="Calibri"/>
                <w:color w:val="000000"/>
                <w:sz w:val="22"/>
                <w:szCs w:val="22"/>
              </w:rPr>
            </w:pPr>
            <w:r>
              <w:rPr>
                <w:rFonts w:hint="eastAsia" w:ascii="Calibri" w:hAnsi="Calibri" w:cs="Calibri"/>
                <w:color w:val="000000"/>
                <w:sz w:val="22"/>
                <w:szCs w:val="22"/>
                <w:lang w:val="en-US" w:eastAsia="zh-CN"/>
              </w:rPr>
              <w:t>住房公积金</w:t>
            </w:r>
          </w:p>
        </w:tc>
        <w:tc>
          <w:tcPr>
            <w:tcW w:w="1134" w:type="dxa"/>
            <w:vAlign w:val="top"/>
          </w:tcPr>
          <w:p>
            <w:pPr>
              <w:pStyle w:val="16"/>
              <w:rPr>
                <w:rFonts w:ascii="Calibri" w:hAnsi="Calibri" w:cs="Calibri"/>
                <w:color w:val="000000"/>
                <w:sz w:val="22"/>
                <w:szCs w:val="22"/>
              </w:rPr>
            </w:pPr>
            <w:r>
              <w:rPr>
                <w:rFonts w:hint="eastAsia" w:ascii="Calibri" w:hAnsi="Calibri" w:cs="Calibri"/>
                <w:color w:val="000000"/>
                <w:sz w:val="22"/>
                <w:szCs w:val="22"/>
                <w:lang w:val="en-US" w:eastAsia="zh-CN"/>
              </w:rPr>
              <w:t>30.25</w:t>
            </w:r>
          </w:p>
        </w:tc>
        <w:tc>
          <w:tcPr>
            <w:tcW w:w="1134" w:type="dxa"/>
            <w:vAlign w:val="top"/>
          </w:tcPr>
          <w:p>
            <w:pPr>
              <w:pStyle w:val="16"/>
              <w:rPr>
                <w:rFonts w:ascii="Calibri" w:hAnsi="Calibri" w:cs="Calibri"/>
                <w:color w:val="000000"/>
                <w:sz w:val="22"/>
                <w:szCs w:val="22"/>
              </w:rPr>
            </w:pPr>
            <w:r>
              <w:rPr>
                <w:rFonts w:hint="eastAsia" w:ascii="Calibri" w:hAnsi="Calibri" w:cs="Calibri"/>
                <w:color w:val="000000"/>
                <w:sz w:val="22"/>
                <w:szCs w:val="22"/>
                <w:lang w:val="en-US" w:eastAsia="zh-CN"/>
              </w:rPr>
              <w:t>30.25</w:t>
            </w:r>
          </w:p>
        </w:tc>
        <w:tc>
          <w:tcPr>
            <w:tcW w:w="1134" w:type="dxa"/>
            <w:vAlign w:val="top"/>
          </w:tcPr>
          <w:p>
            <w:pPr>
              <w:pStyle w:val="16"/>
              <w:rPr>
                <w:rFonts w:ascii="Calibri" w:hAnsi="Calibri" w:cs="Calibri"/>
                <w:color w:val="000000"/>
                <w:sz w:val="22"/>
                <w:szCs w:val="22"/>
              </w:rPr>
            </w:pPr>
            <w:r>
              <w:rPr>
                <w:rFonts w:hint="eastAsia" w:ascii="Calibri" w:hAnsi="Calibri" w:cs="Calibri"/>
                <w:color w:val="000000"/>
                <w:sz w:val="22"/>
                <w:szCs w:val="22"/>
                <w:lang w:val="en-US" w:eastAsia="zh-CN"/>
              </w:rPr>
              <w:t>30.25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color w:val="000000"/>
                <w:sz w:val="22"/>
                <w:szCs w:val="22"/>
              </w:rPr>
              <w:t>栏次</w:t>
            </w:r>
          </w:p>
        </w:tc>
        <w:tc>
          <w:tcPr>
            <w:tcW w:w="992" w:type="dxa"/>
            <w:vAlign w:val="center"/>
          </w:tcPr>
          <w:p>
            <w:pPr>
              <w:pStyle w:val="15"/>
            </w:pPr>
            <w:r>
              <w:rPr>
                <w:rFonts w:hint="eastAsia"/>
                <w:color w:val="000000"/>
                <w:sz w:val="22"/>
                <w:szCs w:val="22"/>
              </w:rPr>
              <w:t>1</w:t>
            </w:r>
          </w:p>
        </w:tc>
        <w:tc>
          <w:tcPr>
            <w:tcW w:w="4536" w:type="dxa"/>
            <w:vAlign w:val="center"/>
          </w:tcPr>
          <w:p>
            <w:pPr>
              <w:pStyle w:val="15"/>
            </w:pPr>
            <w:r>
              <w:rPr>
                <w:rFonts w:hint="eastAsia"/>
                <w:color w:val="000000"/>
                <w:sz w:val="22"/>
                <w:szCs w:val="22"/>
              </w:rPr>
              <w:t>2</w:t>
            </w:r>
          </w:p>
        </w:tc>
        <w:tc>
          <w:tcPr>
            <w:tcW w:w="1361" w:type="dxa"/>
            <w:vAlign w:val="center"/>
          </w:tcPr>
          <w:p>
            <w:pPr>
              <w:pStyle w:val="15"/>
            </w:pPr>
            <w:r>
              <w:rPr>
                <w:rFonts w:hint="eastAsia"/>
                <w:color w:val="000000"/>
                <w:sz w:val="22"/>
                <w:szCs w:val="22"/>
              </w:rPr>
              <w:t>3</w:t>
            </w:r>
          </w:p>
        </w:tc>
        <w:tc>
          <w:tcPr>
            <w:tcW w:w="1361" w:type="dxa"/>
            <w:vAlign w:val="center"/>
          </w:tcPr>
          <w:p>
            <w:pPr>
              <w:pStyle w:val="15"/>
            </w:pPr>
            <w:r>
              <w:rPr>
                <w:rFonts w:hint="eastAsia"/>
                <w:color w:val="000000"/>
                <w:sz w:val="22"/>
                <w:szCs w:val="22"/>
              </w:rPr>
              <w:t>4</w:t>
            </w:r>
          </w:p>
        </w:tc>
        <w:tc>
          <w:tcPr>
            <w:tcW w:w="1361" w:type="dxa"/>
            <w:vAlign w:val="center"/>
          </w:tcPr>
          <w:p>
            <w:pPr>
              <w:pStyle w:val="15"/>
            </w:pPr>
            <w:r>
              <w:rPr>
                <w:rFonts w:hint="eastAsia"/>
                <w:color w:val="000000"/>
                <w:sz w:val="22"/>
                <w:szCs w:val="22"/>
              </w:rP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550.50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500.45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480.45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2019999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207</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20701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文化和旅游</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2070199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其他文化和旅游支出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18.44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18.44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598.00</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500.45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500.45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jc w:val="right"/>
              <w:rPr>
                <w:rFonts w:ascii="Calibri" w:hAnsi="Calibri" w:cs="Calibri"/>
                <w:color w:val="000000"/>
                <w:sz w:val="22"/>
                <w:szCs w:val="22"/>
                <w:lang w:eastAsia="zh-CN"/>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1474" w:type="dxa"/>
            <w:vAlign w:val="top"/>
          </w:tcPr>
          <w:p>
            <w:pPr>
              <w:jc w:val="right"/>
            </w:pPr>
          </w:p>
        </w:tc>
        <w:tc>
          <w:tcPr>
            <w:tcW w:w="1474" w:type="dxa"/>
            <w:vAlign w:val="top"/>
          </w:tcPr>
          <w:p>
            <w:pPr>
              <w:jc w:val="right"/>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jc w:val="right"/>
            </w:pPr>
            <w:r>
              <w:rPr>
                <w:rFonts w:hint="eastAsia"/>
                <w:lang w:val="en-US" w:eastAsia="zh-CN"/>
              </w:rPr>
              <w:t>598.00</w:t>
            </w:r>
          </w:p>
        </w:tc>
        <w:tc>
          <w:tcPr>
            <w:tcW w:w="3402" w:type="dxa"/>
            <w:vAlign w:val="top"/>
          </w:tcPr>
          <w:p>
            <w:pPr>
              <w:jc w:val="left"/>
            </w:pPr>
            <w:r>
              <w:rPr>
                <w:rFonts w:hint="eastAsia"/>
                <w:lang w:val="en-US" w:eastAsia="zh-CN"/>
              </w:rPr>
              <w:t>支出总计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center"/>
          </w:tcPr>
          <w:p>
            <w:pPr>
              <w:pStyle w:val="20"/>
            </w:p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hint="eastAsia" w:ascii="方正小标宋_GBK" w:hAnsi="方正小标宋_GBK" w:cs="方正小标宋_GBK" w:eastAsiaTheme="minorEastAsia"/>
          <w:color w:val="000000"/>
          <w:sz w:val="36"/>
          <w:lang w:eastAsia="zh-CN"/>
        </w:rPr>
      </w:pPr>
    </w:p>
    <w:p>
      <w:pPr>
        <w:jc w:val="center"/>
        <w:outlineLvl w:val="1"/>
      </w:pPr>
      <w:bookmarkStart w:id="1"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1"/>
    </w:p>
    <w:tbl>
      <w:tblPr>
        <w:tblStyle w:val="8"/>
        <w:tblW w:w="14160" w:type="dxa"/>
        <w:tblInd w:w="113" w:type="dxa"/>
        <w:tblLayout w:type="autofit"/>
        <w:tblCellMar>
          <w:top w:w="0" w:type="dxa"/>
          <w:left w:w="108" w:type="dxa"/>
          <w:bottom w:w="0" w:type="dxa"/>
          <w:right w:w="108" w:type="dxa"/>
        </w:tblCellMar>
      </w:tblPr>
      <w:tblGrid>
        <w:gridCol w:w="699"/>
        <w:gridCol w:w="1353"/>
        <w:gridCol w:w="5279"/>
        <w:gridCol w:w="958"/>
        <w:gridCol w:w="958"/>
        <w:gridCol w:w="1353"/>
        <w:gridCol w:w="1840"/>
        <w:gridCol w:w="1720"/>
      </w:tblGrid>
      <w:tr>
        <w:tblPrEx>
          <w:tblCellMar>
            <w:top w:w="0" w:type="dxa"/>
            <w:left w:w="108" w:type="dxa"/>
            <w:bottom w:w="0" w:type="dxa"/>
            <w:right w:w="108" w:type="dxa"/>
          </w:tblCellMar>
        </w:tblPrEx>
        <w:trPr>
          <w:trHeight w:val="280" w:hRule="atLeast"/>
        </w:trPr>
        <w:tc>
          <w:tcPr>
            <w:tcW w:w="10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 xml:space="preserve"> [806001]涞水县三坡镇人民政府（本级）</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69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63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95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15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280" w:hRule="atLeast"/>
        </w:trPr>
        <w:tc>
          <w:tcPr>
            <w:tcW w:w="69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5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7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280" w:hRule="atLeast"/>
        </w:trPr>
        <w:tc>
          <w:tcPr>
            <w:tcW w:w="69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w:t>
            </w:r>
          </w:p>
        </w:tc>
        <w:tc>
          <w:tcPr>
            <w:tcW w:w="1353" w:type="dxa"/>
            <w:tcBorders>
              <w:top w:val="nil"/>
              <w:left w:val="nil"/>
              <w:bottom w:val="single" w:color="auto" w:sz="4" w:space="0"/>
              <w:right w:val="single" w:color="auto" w:sz="4" w:space="0"/>
            </w:tcBorders>
            <w:shd w:val="clear" w:color="auto" w:fill="auto"/>
            <w:noWrap/>
            <w:vAlign w:val="top"/>
          </w:tcPr>
          <w:p>
            <w:pPr>
              <w:jc w:val="left"/>
              <w:rPr>
                <w:rFonts w:ascii="Calibri" w:hAnsi="Calibri" w:cs="Calibri"/>
                <w:color w:val="000000"/>
                <w:sz w:val="22"/>
                <w:szCs w:val="22"/>
                <w:lang w:eastAsia="zh-CN"/>
              </w:rPr>
            </w:pP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合计</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598.00</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550.50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476.37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47.50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一般公共服务支出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500.45</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380.57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20103</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480.45</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380.57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2010301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行政运行</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380.57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2010302</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一般行政管理事务</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20199</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2019999</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207</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20701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文化和旅游</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2070199</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208</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20805</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2080505</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卫生健康支出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21011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行政事业单位医疗</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2101101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行政单位医疗</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2101103</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公务员医疗补助</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314" w:hRule="atLeast"/>
        </w:trPr>
        <w:tc>
          <w:tcPr>
            <w:tcW w:w="69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221</w:t>
            </w:r>
          </w:p>
        </w:tc>
        <w:tc>
          <w:tcPr>
            <w:tcW w:w="527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住房保障支出</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314" w:hRule="atLeast"/>
        </w:trPr>
        <w:tc>
          <w:tcPr>
            <w:tcW w:w="69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19</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22102</w:t>
            </w:r>
          </w:p>
        </w:tc>
        <w:tc>
          <w:tcPr>
            <w:tcW w:w="527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住房改革支出</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cs="宋体"/>
                <w:color w:val="000000"/>
                <w:sz w:val="22"/>
                <w:szCs w:val="22"/>
              </w:rPr>
            </w:pP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14" w:hRule="atLeast"/>
        </w:trPr>
        <w:tc>
          <w:tcPr>
            <w:tcW w:w="69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2210201</w:t>
            </w:r>
          </w:p>
        </w:tc>
        <w:tc>
          <w:tcPr>
            <w:tcW w:w="527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cs="宋体"/>
                <w:color w:val="000000"/>
                <w:sz w:val="22"/>
                <w:szCs w:val="22"/>
              </w:rPr>
            </w:pP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cs="宋体"/>
                <w:color w:val="000000"/>
                <w:sz w:val="22"/>
                <w:szCs w:val="22"/>
              </w:rPr>
            </w:pPr>
          </w:p>
        </w:tc>
      </w:tr>
    </w:tbl>
    <w:p>
      <w:pPr>
        <w:sectPr>
          <w:type w:val="continuous"/>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outlineLvl w:val="4"/>
        <w:rPr>
          <w:rFonts w:hint="eastAsia" w:ascii="方正小标宋_GBK" w:hAnsi="方正小标宋_GBK" w:cs="方正小标宋_GBK" w:eastAsiaTheme="minorEastAsia"/>
          <w:color w:val="000000"/>
          <w:sz w:val="36"/>
          <w:lang w:eastAsia="zh-CN"/>
        </w:rPr>
      </w:pPr>
    </w:p>
    <w:p>
      <w:pPr>
        <w:jc w:val="center"/>
        <w:outlineLvl w:val="1"/>
      </w:pPr>
      <w:bookmarkStart w:id="2"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2"/>
    </w:p>
    <w:tbl>
      <w:tblPr>
        <w:tblStyle w:val="8"/>
        <w:tblW w:w="14640" w:type="dxa"/>
        <w:tblInd w:w="113" w:type="dxa"/>
        <w:tblLayout w:type="autofit"/>
        <w:tblCellMar>
          <w:top w:w="0" w:type="dxa"/>
          <w:left w:w="108" w:type="dxa"/>
          <w:bottom w:w="0" w:type="dxa"/>
          <w:right w:w="108" w:type="dxa"/>
        </w:tblCellMar>
      </w:tblPr>
      <w:tblGrid>
        <w:gridCol w:w="853"/>
        <w:gridCol w:w="1652"/>
        <w:gridCol w:w="5646"/>
        <w:gridCol w:w="1169"/>
        <w:gridCol w:w="3160"/>
        <w:gridCol w:w="2160"/>
      </w:tblGrid>
      <w:tr>
        <w:tblPrEx>
          <w:tblCellMar>
            <w:top w:w="0" w:type="dxa"/>
            <w:left w:w="108" w:type="dxa"/>
            <w:bottom w:w="0" w:type="dxa"/>
            <w:right w:w="108" w:type="dxa"/>
          </w:tblCellMar>
        </w:tblPrEx>
        <w:trPr>
          <w:trHeight w:val="280" w:hRule="atLeast"/>
        </w:trPr>
        <w:tc>
          <w:tcPr>
            <w:tcW w:w="93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 xml:space="preserve"> [806001]涞水县三坡镇人民政府（本级）</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729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648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280" w:hRule="atLeast"/>
        </w:trPr>
        <w:tc>
          <w:tcPr>
            <w:tcW w:w="85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280" w:hRule="atLeast"/>
        </w:trPr>
        <w:tc>
          <w:tcPr>
            <w:tcW w:w="8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w:t>
            </w:r>
          </w:p>
        </w:tc>
        <w:tc>
          <w:tcPr>
            <w:tcW w:w="1652" w:type="dxa"/>
            <w:tcBorders>
              <w:top w:val="nil"/>
              <w:left w:val="nil"/>
              <w:bottom w:val="single" w:color="auto" w:sz="4" w:space="0"/>
              <w:right w:val="single" w:color="auto" w:sz="4" w:space="0"/>
            </w:tcBorders>
            <w:shd w:val="clear" w:color="auto" w:fill="auto"/>
            <w:noWrap/>
            <w:vAlign w:val="top"/>
          </w:tcPr>
          <w:p>
            <w:pPr>
              <w:jc w:val="left"/>
              <w:rPr>
                <w:rFonts w:ascii="Calibri" w:hAnsi="Calibri" w:cs="Calibri"/>
                <w:color w:val="000000"/>
                <w:sz w:val="22"/>
                <w:szCs w:val="22"/>
                <w:lang w:eastAsia="zh-CN"/>
              </w:rPr>
            </w:pP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合计</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550.50</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476.37</w:t>
            </w: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工资福利支出</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472.01</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472.01</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30101</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基本工资</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186.52</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186.52</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30102</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津贴补贴</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97.66</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97.66</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30103</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奖金</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23.85</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23.85</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30107</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绩效工资</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65.90</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65.90</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30108</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30110</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30111</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10</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30112</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2.28</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2.28</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30113</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商品和服务支出</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30201</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办公费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8.28</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8.28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14</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30207</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邮电费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0.36</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30208</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取暖费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5.00</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30211</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差旅费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30217</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公务接待费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1.34</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30226</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劳务费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29.56</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29.56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19</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30228</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工会经费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4.04</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4.04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30229</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福利费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5.37</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5.37</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30231</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7.00</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30239</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其他交通费用</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10.74</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10.74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23</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30299</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0.44</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0.44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303</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4.36</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4.36</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30305</w:t>
            </w:r>
          </w:p>
        </w:tc>
        <w:tc>
          <w:tcPr>
            <w:tcW w:w="56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生活补助</w:t>
            </w:r>
          </w:p>
        </w:tc>
        <w:tc>
          <w:tcPr>
            <w:tcW w:w="11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4.36</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4.36</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lang w:eastAsia="zh-CN"/>
              </w:rPr>
            </w:pPr>
          </w:p>
        </w:tc>
      </w:tr>
    </w:tbl>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hint="eastAsia"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ind w:firstLine="3600" w:firstLineChars="1000"/>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pPr>
            <w:r>
              <w:rPr>
                <w:rFonts w:hint="eastAsia"/>
                <w:lang w:eastAsia="zh-CN"/>
              </w:rPr>
              <w:t>8.34</w:t>
            </w:r>
          </w:p>
        </w:tc>
        <w:tc>
          <w:tcPr>
            <w:tcW w:w="2381" w:type="dxa"/>
            <w:vAlign w:val="center"/>
          </w:tcPr>
          <w:p>
            <w:pPr>
              <w:pStyle w:val="20"/>
            </w:pPr>
            <w:r>
              <w:rPr>
                <w:rFonts w:hint="eastAsia"/>
                <w:lang w:eastAsia="zh-CN"/>
              </w:rPr>
              <w:t>8.34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rPr>
                <w:lang w:eastAsia="zh-CN"/>
              </w:rPr>
            </w:pPr>
            <w:r>
              <w:rPr>
                <w:rFonts w:hint="eastAsia"/>
                <w:lang w:eastAsia="zh-CN"/>
              </w:rPr>
              <w:t>7</w:t>
            </w:r>
          </w:p>
        </w:tc>
        <w:tc>
          <w:tcPr>
            <w:tcW w:w="2381" w:type="dxa"/>
            <w:vAlign w:val="center"/>
          </w:tcPr>
          <w:p>
            <w:pPr>
              <w:pStyle w:val="16"/>
              <w:rPr>
                <w:lang w:eastAsia="zh-CN"/>
              </w:rPr>
            </w:pPr>
            <w:r>
              <w:rPr>
                <w:rFonts w:hint="eastAsia"/>
                <w:lang w:eastAsia="zh-CN"/>
              </w:rPr>
              <w:t>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center"/>
          </w:tcPr>
          <w:p>
            <w:pPr>
              <w:pStyle w:val="16"/>
              <w:rPr>
                <w:lang w:eastAsia="zh-CN"/>
              </w:rPr>
            </w:pPr>
            <w:r>
              <w:rPr>
                <w:rFonts w:hint="eastAsia"/>
                <w:lang w:eastAsia="zh-CN"/>
              </w:rPr>
              <w:t>1.34</w:t>
            </w:r>
          </w:p>
        </w:tc>
        <w:tc>
          <w:tcPr>
            <w:tcW w:w="2381" w:type="dxa"/>
            <w:vAlign w:val="center"/>
          </w:tcPr>
          <w:p>
            <w:pPr>
              <w:pStyle w:val="16"/>
              <w:rPr>
                <w:lang w:eastAsia="zh-CN"/>
              </w:rPr>
            </w:pPr>
            <w:r>
              <w:rPr>
                <w:rFonts w:hint="eastAsia"/>
                <w:lang w:eastAsia="zh-CN"/>
              </w:rPr>
              <w:t>1.34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ind w:firstLine="660" w:firstLineChars="150"/>
        <w:outlineLvl w:val="4"/>
        <w:rPr>
          <w:rFonts w:ascii="方正小标宋_GBK" w:hAnsi="方正小标宋_GBK" w:eastAsia="方正小标宋_GBK" w:cs="方正小标宋_GBK"/>
          <w:color w:val="000000"/>
          <w:sz w:val="44"/>
          <w:lang w:eastAsia="zh-CN"/>
        </w:rPr>
      </w:pPr>
    </w:p>
    <w:p>
      <w:pPr>
        <w:ind w:firstLine="660" w:firstLineChars="150"/>
        <w:outlineLvl w:val="4"/>
      </w:pP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涞水县三坡镇人民政府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hint="eastAsia" w:ascii="宋体" w:hAnsi="宋体" w:eastAsia="宋体" w:cs="宋体"/>
          <w:color w:val="000000"/>
          <w:sz w:val="28"/>
          <w:lang w:eastAsia="zh-CN"/>
        </w:rPr>
      </w:pPr>
      <w:r>
        <w:rPr>
          <w:rFonts w:hint="eastAsia" w:eastAsia="方正仿宋_GBK"/>
          <w:color w:val="000000"/>
          <w:sz w:val="28"/>
          <w:szCs w:val="28"/>
          <w:lang w:eastAsia="zh-CN"/>
        </w:rPr>
        <w:t xml:space="preserve">    </w:t>
      </w:r>
      <w:r>
        <w:rPr>
          <w:rFonts w:hint="eastAsia" w:ascii="仿宋" w:hAnsi="仿宋" w:eastAsia="仿宋" w:cs="仿宋"/>
          <w:color w:val="000000"/>
          <w:sz w:val="28"/>
          <w:szCs w:val="28"/>
          <w:lang w:eastAsia="zh-CN"/>
        </w:rPr>
        <w:t>202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年我单位预算总收入</w:t>
      </w:r>
      <w:r>
        <w:rPr>
          <w:rFonts w:hint="eastAsia" w:ascii="仿宋" w:hAnsi="仿宋" w:eastAsia="仿宋" w:cs="仿宋"/>
          <w:color w:val="000000"/>
          <w:sz w:val="28"/>
          <w:szCs w:val="28"/>
          <w:lang w:val="en-US" w:eastAsia="zh-CN"/>
        </w:rPr>
        <w:t>598.00</w:t>
      </w:r>
      <w:r>
        <w:rPr>
          <w:rFonts w:hint="eastAsia" w:ascii="仿宋" w:hAnsi="仿宋" w:eastAsia="仿宋" w:cs="仿宋"/>
          <w:color w:val="000000"/>
          <w:sz w:val="28"/>
          <w:szCs w:val="28"/>
          <w:lang w:eastAsia="zh-CN"/>
        </w:rPr>
        <w:t>万元，其中：一般公共预算拨款收入</w:t>
      </w:r>
      <w:r>
        <w:rPr>
          <w:rFonts w:hint="eastAsia" w:ascii="仿宋" w:hAnsi="仿宋" w:eastAsia="仿宋" w:cs="仿宋"/>
          <w:color w:val="000000"/>
          <w:sz w:val="28"/>
          <w:szCs w:val="28"/>
          <w:lang w:val="en-US" w:eastAsia="zh-CN"/>
        </w:rPr>
        <w:t>598.00</w:t>
      </w:r>
      <w:r>
        <w:rPr>
          <w:rFonts w:hint="eastAsia" w:ascii="仿宋" w:hAnsi="仿宋" w:eastAsia="仿宋" w:cs="仿宋"/>
          <w:color w:val="000000"/>
          <w:sz w:val="28"/>
          <w:szCs w:val="28"/>
          <w:lang w:eastAsia="zh-CN"/>
        </w:rPr>
        <w:t>万元，政府性基金拨款收入0万元，国有资本经营收入0万元，其他来源收入0万元。</w:t>
      </w:r>
      <w:r>
        <w:rPr>
          <w:rFonts w:hint="eastAsia" w:ascii="宋体" w:hAnsi="宋体" w:eastAsia="宋体" w:cs="宋体"/>
          <w:color w:val="000000"/>
          <w:sz w:val="28"/>
          <w:lang w:eastAsia="zh-CN"/>
        </w:rPr>
        <w:t xml:space="preserve">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szCs w:val="28"/>
          <w:lang w:eastAsia="zh-CN"/>
        </w:rPr>
      </w:pPr>
      <w:r>
        <w:rPr>
          <w:rFonts w:hint="eastAsia" w:eastAsia="方正仿宋_GBK"/>
          <w:color w:val="000000"/>
          <w:sz w:val="28"/>
          <w:lang w:eastAsia="zh-CN"/>
        </w:rPr>
        <w:t xml:space="preserve"> </w:t>
      </w:r>
      <w:r>
        <w:rPr>
          <w:rFonts w:hint="eastAsia" w:ascii="仿宋" w:hAnsi="仿宋" w:eastAsia="仿宋" w:cs="仿宋"/>
          <w:color w:val="000000"/>
          <w:sz w:val="28"/>
          <w:lang w:eastAsia="zh-CN"/>
        </w:rPr>
        <w:t xml:space="preserve"> </w:t>
      </w:r>
      <w:r>
        <w:rPr>
          <w:rFonts w:hint="eastAsia" w:ascii="仿宋" w:hAnsi="仿宋" w:eastAsia="仿宋" w:cs="仿宋"/>
          <w:color w:val="000000"/>
          <w:sz w:val="28"/>
          <w:szCs w:val="28"/>
          <w:lang w:eastAsia="zh-CN"/>
        </w:rPr>
        <w:t xml:space="preserve"> 2024年我单位预算支出</w:t>
      </w:r>
      <w:r>
        <w:rPr>
          <w:rFonts w:hint="eastAsia" w:ascii="仿宋" w:hAnsi="仿宋" w:eastAsia="仿宋" w:cs="仿宋"/>
          <w:color w:val="000000"/>
          <w:sz w:val="28"/>
          <w:szCs w:val="28"/>
          <w:lang w:val="en-US" w:eastAsia="zh-CN"/>
        </w:rPr>
        <w:t>598.00</w:t>
      </w:r>
      <w:r>
        <w:rPr>
          <w:rFonts w:hint="eastAsia" w:ascii="仿宋" w:hAnsi="仿宋" w:eastAsia="仿宋" w:cs="仿宋"/>
          <w:color w:val="000000"/>
          <w:sz w:val="28"/>
          <w:szCs w:val="28"/>
          <w:lang w:eastAsia="zh-CN"/>
        </w:rPr>
        <w:t>万元，其中，基本支出</w:t>
      </w:r>
      <w:r>
        <w:rPr>
          <w:rFonts w:hint="eastAsia" w:ascii="仿宋" w:hAnsi="仿宋" w:eastAsia="仿宋" w:cs="仿宋"/>
          <w:color w:val="000000"/>
          <w:sz w:val="28"/>
          <w:szCs w:val="28"/>
          <w:lang w:val="en-US" w:eastAsia="zh-CN"/>
        </w:rPr>
        <w:t>550.50</w:t>
      </w:r>
      <w:r>
        <w:rPr>
          <w:rFonts w:hint="eastAsia" w:ascii="仿宋" w:hAnsi="仿宋" w:eastAsia="仿宋" w:cs="仿宋"/>
          <w:color w:val="000000"/>
          <w:sz w:val="28"/>
          <w:szCs w:val="28"/>
          <w:lang w:eastAsia="zh-CN"/>
        </w:rPr>
        <w:t>万元，包含人员经费</w:t>
      </w:r>
      <w:r>
        <w:rPr>
          <w:rFonts w:hint="eastAsia" w:ascii="仿宋" w:hAnsi="仿宋" w:eastAsia="仿宋" w:cs="仿宋"/>
          <w:color w:val="000000"/>
          <w:sz w:val="28"/>
          <w:szCs w:val="28"/>
          <w:lang w:val="en-US" w:eastAsia="zh-CN"/>
        </w:rPr>
        <w:t>476.37</w:t>
      </w:r>
      <w:r>
        <w:rPr>
          <w:rFonts w:hint="eastAsia" w:ascii="仿宋" w:hAnsi="仿宋" w:eastAsia="仿宋" w:cs="仿宋"/>
          <w:color w:val="000000"/>
          <w:sz w:val="28"/>
          <w:szCs w:val="28"/>
          <w:lang w:eastAsia="zh-CN"/>
        </w:rPr>
        <w:t>万元，日常公用经费</w:t>
      </w:r>
      <w:r>
        <w:rPr>
          <w:rFonts w:hint="eastAsia" w:ascii="仿宋" w:hAnsi="仿宋" w:eastAsia="仿宋" w:cs="仿宋"/>
          <w:color w:val="000000"/>
          <w:sz w:val="28"/>
          <w:szCs w:val="28"/>
          <w:lang w:val="en-US" w:eastAsia="zh-CN"/>
        </w:rPr>
        <w:t>74.13</w:t>
      </w:r>
      <w:r>
        <w:rPr>
          <w:rFonts w:hint="eastAsia" w:ascii="仿宋" w:hAnsi="仿宋" w:eastAsia="仿宋" w:cs="仿宋"/>
          <w:color w:val="000000"/>
          <w:sz w:val="28"/>
          <w:szCs w:val="28"/>
          <w:lang w:eastAsia="zh-CN"/>
        </w:rPr>
        <w:t>万元；项目支出</w:t>
      </w:r>
      <w:r>
        <w:rPr>
          <w:rFonts w:hint="eastAsia" w:ascii="仿宋" w:hAnsi="仿宋" w:eastAsia="仿宋" w:cs="仿宋"/>
          <w:color w:val="000000"/>
          <w:sz w:val="28"/>
          <w:szCs w:val="28"/>
          <w:lang w:val="en-US" w:eastAsia="zh-CN"/>
        </w:rPr>
        <w:t>47.50</w:t>
      </w:r>
      <w:r>
        <w:rPr>
          <w:rFonts w:hint="eastAsia" w:ascii="仿宋" w:hAnsi="仿宋" w:eastAsia="仿宋" w:cs="仿宋"/>
          <w:color w:val="000000"/>
          <w:sz w:val="28"/>
          <w:szCs w:val="28"/>
          <w:lang w:eastAsia="zh-CN"/>
        </w:rPr>
        <w:t>万元。</w:t>
      </w:r>
    </w:p>
    <w:p>
      <w:pPr>
        <w:spacing w:before="10" w:after="10"/>
        <w:ind w:firstLine="640"/>
        <w:outlineLvl w:val="5"/>
        <w:rPr>
          <w:rFonts w:ascii="黑体" w:hAnsi="黑体" w:eastAsia="黑体" w:cs="黑体"/>
          <w:color w:val="000000"/>
          <w:sz w:val="28"/>
          <w:szCs w:val="28"/>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我单位</w:t>
      </w:r>
      <w:r>
        <w:rPr>
          <w:rFonts w:hint="eastAsia" w:ascii="仿宋" w:hAnsi="仿宋" w:eastAsia="仿宋" w:cs="仿宋"/>
          <w:color w:val="000000"/>
          <w:sz w:val="28"/>
          <w:szCs w:val="28"/>
        </w:rPr>
        <w:t>预算安排机关运行经费支出</w:t>
      </w:r>
      <w:r>
        <w:rPr>
          <w:rFonts w:hint="eastAsia" w:ascii="仿宋" w:hAnsi="仿宋" w:eastAsia="仿宋" w:cs="仿宋"/>
          <w:color w:val="000000"/>
          <w:sz w:val="28"/>
          <w:szCs w:val="28"/>
          <w:lang w:val="en-US" w:eastAsia="zh-CN"/>
        </w:rPr>
        <w:t>74.13</w:t>
      </w:r>
      <w:r>
        <w:rPr>
          <w:rFonts w:hint="eastAsia" w:ascii="仿宋" w:hAnsi="仿宋" w:eastAsia="仿宋" w:cs="仿宋"/>
          <w:color w:val="000000"/>
          <w:sz w:val="28"/>
          <w:szCs w:val="28"/>
        </w:rPr>
        <w:t>万元，其中包括办公费8.28万元，邮电费0.36万元，取暖费5万元，差旅费2万元，公务接待费1.34万元，公务车运行维护费7万元,公务交通补贴</w:t>
      </w:r>
      <w:r>
        <w:rPr>
          <w:rFonts w:hint="eastAsia" w:ascii="仿宋" w:hAnsi="仿宋" w:eastAsia="仿宋" w:cs="仿宋"/>
          <w:color w:val="000000"/>
          <w:sz w:val="28"/>
          <w:szCs w:val="28"/>
          <w:lang w:val="en-US" w:eastAsia="zh-CN"/>
        </w:rPr>
        <w:t>10.74</w:t>
      </w:r>
      <w:r>
        <w:rPr>
          <w:rFonts w:hint="eastAsia" w:ascii="仿宋" w:hAnsi="仿宋" w:eastAsia="仿宋" w:cs="仿宋"/>
          <w:color w:val="000000"/>
          <w:sz w:val="28"/>
          <w:szCs w:val="28"/>
        </w:rPr>
        <w:t>万元，工会经费</w:t>
      </w:r>
      <w:r>
        <w:rPr>
          <w:rFonts w:hint="eastAsia" w:ascii="仿宋" w:hAnsi="仿宋" w:eastAsia="仿宋" w:cs="仿宋"/>
          <w:color w:val="000000"/>
          <w:sz w:val="28"/>
          <w:szCs w:val="28"/>
          <w:lang w:val="en-US" w:eastAsia="zh-CN"/>
        </w:rPr>
        <w:t>4.04</w:t>
      </w:r>
      <w:r>
        <w:rPr>
          <w:rFonts w:hint="eastAsia" w:ascii="仿宋" w:hAnsi="仿宋" w:eastAsia="仿宋" w:cs="仿宋"/>
          <w:color w:val="000000"/>
          <w:sz w:val="28"/>
          <w:szCs w:val="28"/>
        </w:rPr>
        <w:t>万元，福利费</w:t>
      </w:r>
      <w:r>
        <w:rPr>
          <w:rFonts w:hint="eastAsia" w:ascii="仿宋" w:hAnsi="仿宋" w:eastAsia="仿宋" w:cs="仿宋"/>
          <w:color w:val="000000"/>
          <w:sz w:val="28"/>
          <w:szCs w:val="28"/>
          <w:lang w:val="en-US" w:eastAsia="zh-CN"/>
        </w:rPr>
        <w:t>5.37</w:t>
      </w:r>
      <w:r>
        <w:rPr>
          <w:rFonts w:hint="eastAsia" w:ascii="仿宋" w:hAnsi="仿宋" w:eastAsia="仿宋" w:cs="仿宋"/>
          <w:color w:val="000000"/>
          <w:sz w:val="28"/>
          <w:szCs w:val="28"/>
        </w:rPr>
        <w:t>万元，劳务费2</w:t>
      </w:r>
      <w:r>
        <w:rPr>
          <w:rFonts w:hint="eastAsia" w:ascii="仿宋" w:hAnsi="仿宋" w:eastAsia="仿宋" w:cs="仿宋"/>
          <w:color w:val="000000"/>
          <w:sz w:val="28"/>
          <w:szCs w:val="28"/>
          <w:lang w:val="en-US" w:eastAsia="zh-CN"/>
        </w:rPr>
        <w:t>9.56</w:t>
      </w:r>
      <w:r>
        <w:rPr>
          <w:rFonts w:hint="eastAsia" w:ascii="仿宋" w:hAnsi="仿宋" w:eastAsia="仿宋" w:cs="仿宋"/>
          <w:color w:val="000000"/>
          <w:sz w:val="28"/>
          <w:szCs w:val="28"/>
        </w:rPr>
        <w:t>万元，离退休人员经费0.</w:t>
      </w:r>
      <w:r>
        <w:rPr>
          <w:rFonts w:hint="eastAsia" w:ascii="仿宋" w:hAnsi="仿宋" w:eastAsia="仿宋" w:cs="仿宋"/>
          <w:color w:val="000000"/>
          <w:sz w:val="28"/>
          <w:szCs w:val="28"/>
          <w:lang w:val="en-US" w:eastAsia="zh-CN"/>
        </w:rPr>
        <w:t>44</w:t>
      </w:r>
      <w:r>
        <w:rPr>
          <w:rFonts w:hint="eastAsia" w:ascii="仿宋" w:hAnsi="仿宋" w:eastAsia="仿宋" w:cs="仿宋"/>
          <w:color w:val="000000"/>
          <w:sz w:val="28"/>
          <w:szCs w:val="28"/>
        </w:rPr>
        <w:t>万元。</w:t>
      </w:r>
    </w:p>
    <w:p>
      <w:pPr>
        <w:pStyle w:val="32"/>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年本</w:t>
      </w:r>
      <w:r>
        <w:rPr>
          <w:rFonts w:hint="eastAsia" w:ascii="仿宋" w:hAnsi="仿宋" w:eastAsia="仿宋" w:cs="仿宋"/>
          <w:color w:val="000000"/>
          <w:sz w:val="28"/>
          <w:lang w:val="en-US" w:eastAsia="zh-CN"/>
        </w:rPr>
        <w:t>单位</w:t>
      </w:r>
      <w:r>
        <w:rPr>
          <w:rFonts w:hint="eastAsia" w:ascii="仿宋" w:hAnsi="仿宋" w:eastAsia="仿宋" w:cs="仿宋"/>
          <w:color w:val="000000"/>
          <w:sz w:val="28"/>
        </w:rPr>
        <w:t>“三公”经费预算数8.34万元，其中：公务接待费1.34万元；公务用车运行维护费7万元,无公务用车购置费和因公出国（境）费。</w:t>
      </w:r>
    </w:p>
    <w:p>
      <w:pPr>
        <w:spacing w:line="500" w:lineRule="exact"/>
        <w:ind w:firstLine="560" w:firstLineChars="20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3</w:t>
      </w:r>
      <w:r>
        <w:rPr>
          <w:rFonts w:hint="eastAsia" w:ascii="仿宋" w:hAnsi="仿宋" w:eastAsia="仿宋" w:cs="仿宋"/>
          <w:color w:val="000000"/>
          <w:sz w:val="28"/>
        </w:rPr>
        <w:t>年</w:t>
      </w:r>
      <w:r>
        <w:rPr>
          <w:rFonts w:hint="eastAsia" w:ascii="仿宋" w:hAnsi="仿宋" w:eastAsia="仿宋" w:cs="仿宋"/>
          <w:color w:val="000000"/>
          <w:sz w:val="28"/>
          <w:lang w:val="en-US" w:eastAsia="zh-CN"/>
        </w:rPr>
        <w:t>本单位</w:t>
      </w:r>
      <w:r>
        <w:rPr>
          <w:rFonts w:hint="eastAsia" w:ascii="仿宋" w:hAnsi="仿宋" w:eastAsia="仿宋" w:cs="仿宋"/>
          <w:color w:val="000000"/>
          <w:sz w:val="28"/>
        </w:rPr>
        <w:t>“三公”经费预算拨款</w:t>
      </w:r>
      <w:r>
        <w:rPr>
          <w:rFonts w:hint="eastAsia" w:ascii="仿宋" w:hAnsi="仿宋" w:eastAsia="仿宋" w:cs="仿宋"/>
          <w:color w:val="000000"/>
          <w:sz w:val="28"/>
          <w:lang w:val="en-US" w:eastAsia="zh-CN"/>
        </w:rPr>
        <w:t>8</w:t>
      </w:r>
      <w:r>
        <w:rPr>
          <w:rFonts w:hint="eastAsia" w:ascii="仿宋" w:hAnsi="仿宋" w:eastAsia="仿宋" w:cs="仿宋"/>
          <w:color w:val="000000"/>
          <w:sz w:val="28"/>
        </w:rPr>
        <w:t>.34万元，其中公务车运行维护费7万元，公务接待费</w:t>
      </w:r>
      <w:r>
        <w:rPr>
          <w:rFonts w:hint="eastAsia" w:ascii="仿宋" w:hAnsi="仿宋" w:eastAsia="仿宋" w:cs="仿宋"/>
          <w:color w:val="000000"/>
          <w:sz w:val="28"/>
          <w:lang w:val="en-US" w:eastAsia="zh-CN"/>
        </w:rPr>
        <w:t>1</w:t>
      </w:r>
      <w:r>
        <w:rPr>
          <w:rFonts w:hint="eastAsia" w:ascii="仿宋" w:hAnsi="仿宋" w:eastAsia="仿宋" w:cs="仿宋"/>
          <w:color w:val="000000"/>
          <w:sz w:val="28"/>
        </w:rPr>
        <w:t>.34万元，无因公出国（境）费。</w:t>
      </w:r>
    </w:p>
    <w:p>
      <w:pPr>
        <w:spacing w:line="500" w:lineRule="exact"/>
        <w:ind w:firstLine="560"/>
        <w:rPr>
          <w:rFonts w:eastAsia="方正仿宋_GBK"/>
          <w:color w:val="000000"/>
          <w:sz w:val="28"/>
          <w:lang w:eastAsia="zh-CN"/>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年“三公”经费总额</w:t>
      </w:r>
      <w:r>
        <w:rPr>
          <w:rFonts w:hint="eastAsia" w:ascii="仿宋" w:hAnsi="仿宋" w:eastAsia="仿宋" w:cs="仿宋"/>
          <w:color w:val="000000"/>
          <w:sz w:val="28"/>
          <w:lang w:val="en-US" w:eastAsia="zh-CN"/>
        </w:rPr>
        <w:t>与</w:t>
      </w:r>
      <w:r>
        <w:rPr>
          <w:rFonts w:hint="eastAsia" w:ascii="仿宋" w:hAnsi="仿宋" w:eastAsia="仿宋" w:cs="仿宋"/>
          <w:color w:val="000000"/>
          <w:sz w:val="28"/>
        </w:rPr>
        <w:t>202</w:t>
      </w:r>
      <w:r>
        <w:rPr>
          <w:rFonts w:hint="eastAsia" w:ascii="仿宋" w:hAnsi="仿宋" w:eastAsia="仿宋" w:cs="仿宋"/>
          <w:color w:val="000000"/>
          <w:sz w:val="28"/>
          <w:lang w:val="en-US" w:eastAsia="zh-CN"/>
        </w:rPr>
        <w:t>3</w:t>
      </w:r>
      <w:r>
        <w:rPr>
          <w:rFonts w:hint="eastAsia" w:ascii="仿宋" w:hAnsi="仿宋" w:eastAsia="仿宋" w:cs="仿宋"/>
          <w:color w:val="000000"/>
          <w:sz w:val="28"/>
        </w:rPr>
        <w:t>年“三公”经费总额</w:t>
      </w:r>
      <w:r>
        <w:rPr>
          <w:rFonts w:hint="eastAsia" w:ascii="仿宋" w:hAnsi="仿宋" w:eastAsia="仿宋" w:cs="仿宋"/>
          <w:color w:val="000000"/>
          <w:sz w:val="28"/>
          <w:lang w:val="en-US" w:eastAsia="zh-CN"/>
        </w:rPr>
        <w:t>持平</w:t>
      </w:r>
      <w:r>
        <w:rPr>
          <w:rFonts w:hint="eastAsia" w:ascii="仿宋" w:hAnsi="仿宋" w:eastAsia="仿宋" w:cs="仿宋"/>
          <w:color w:val="000000"/>
          <w:sz w:val="28"/>
        </w:rPr>
        <w:t>。</w:t>
      </w:r>
    </w:p>
    <w:p>
      <w:pPr>
        <w:spacing w:line="500" w:lineRule="exact"/>
        <w:ind w:firstLine="560"/>
        <w:rPr>
          <w:rFonts w:eastAsia="方正仿宋_GBK"/>
          <w:color w:val="000000"/>
          <w:sz w:val="28"/>
          <w:lang w:eastAsia="zh-CN"/>
        </w:rPr>
      </w:pPr>
    </w:p>
    <w:p>
      <w:pPr>
        <w:spacing w:before="10" w:after="10"/>
        <w:ind w:firstLine="640"/>
        <w:outlineLvl w:val="5"/>
        <w:rPr>
          <w:lang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7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7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310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szCs w:val="21"/>
                <w:lang w:val="en-US" w:eastAsia="zh-CN"/>
              </w:rPr>
              <w:t>1</w:t>
            </w:r>
            <w:r>
              <w:rPr>
                <w:rFonts w:ascii="仿宋_GB2312" w:hAnsi="宋体" w:eastAsia="仿宋_GB2312" w:cs="宋体"/>
                <w:szCs w:val="21"/>
              </w:rPr>
              <w:t>.</w:t>
            </w:r>
            <w:r>
              <w:rPr>
                <w:rFonts w:hint="eastAsia" w:ascii="仿宋_GB2312" w:hAnsi="宋体" w:eastAsia="仿宋_GB2312" w:cs="宋体"/>
                <w:szCs w:val="21"/>
              </w:rPr>
              <w:t>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cs="宋体"/>
                <w:szCs w:val="21"/>
              </w:rPr>
              <w:t>1.</w:t>
            </w:r>
            <w:r>
              <w:rPr>
                <w:rFonts w:hint="eastAsia" w:ascii="仿宋_GB2312" w:hAnsi="宋体" w:eastAsia="仿宋_GB2312" w:cs="宋体"/>
                <w:szCs w:val="21"/>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eastAsia="仿宋_GB2312" w:cs="宋体" w:asciiTheme="minorHAnsi" w:hAnsiTheme="minorHAnsi"/>
                <w:lang w:val="uk-UA"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9.34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lang w:eastAsia="zh-CN"/>
              </w:rPr>
              <w:t>8</w:t>
            </w:r>
            <w:r>
              <w:rPr>
                <w:rFonts w:hint="eastAsia" w:ascii="仿宋_GB2312" w:hAnsi="宋体" w:eastAsia="仿宋_GB2312"/>
                <w:lang w:eastAsia="zh-CN"/>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节俭开支</w:t>
            </w:r>
          </w:p>
        </w:tc>
      </w:tr>
    </w:tbl>
    <w:p>
      <w:pPr>
        <w:spacing w:before="10" w:after="1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二、分项绩效目标</w:t>
      </w:r>
      <w:r>
        <w:rPr>
          <w:rFonts w:eastAsia="方正仿宋_GBK"/>
          <w:color w:val="000000"/>
          <w:sz w:val="28"/>
        </w:rPr>
        <w:fldChar w:fldCharType="begin"/>
      </w:r>
      <w:r>
        <w:rPr>
          <w:rFonts w:eastAsia="方正仿宋_GBK"/>
          <w:color w:val="000000"/>
          <w:sz w:val="28"/>
        </w:rPr>
        <w:instrText xml:space="preserve">tc "</w:instrText>
      </w:r>
      <w:bookmarkStart w:id="3" w:name="_Toc30001316"/>
      <w:r>
        <w:rPr>
          <w:rFonts w:hint="eastAsia" w:eastAsia="方正仿宋_GBK"/>
          <w:color w:val="000000"/>
          <w:sz w:val="28"/>
        </w:rPr>
        <w:instrText xml:space="preserve">分项绩效目标</w:instrText>
      </w:r>
      <w:bookmarkEnd w:id="3"/>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（一）党的基层组织建设</w:t>
      </w:r>
    </w:p>
    <w:p>
      <w:pPr>
        <w:spacing w:line="500" w:lineRule="exact"/>
        <w:ind w:firstLine="56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00" w:lineRule="exact"/>
        <w:ind w:firstLine="56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00" w:lineRule="exact"/>
        <w:ind w:firstLine="560"/>
        <w:rPr>
          <w:rFonts w:eastAsia="方正仿宋_GBK"/>
          <w:color w:val="000000"/>
          <w:sz w:val="28"/>
        </w:rPr>
      </w:pPr>
      <w:r>
        <w:rPr>
          <w:rFonts w:hint="eastAsia" w:eastAsia="方正仿宋_GBK"/>
          <w:color w:val="000000"/>
          <w:sz w:val="28"/>
        </w:rPr>
        <w:t>（二）食品安全工作</w:t>
      </w:r>
    </w:p>
    <w:p>
      <w:pPr>
        <w:spacing w:line="500" w:lineRule="exact"/>
        <w:ind w:firstLine="56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00" w:lineRule="exact"/>
        <w:ind w:firstLine="560"/>
        <w:rPr>
          <w:rFonts w:eastAsia="方正仿宋_GBK"/>
          <w:color w:val="000000"/>
          <w:sz w:val="28"/>
        </w:rPr>
      </w:pPr>
      <w:r>
        <w:rPr>
          <w:rFonts w:hint="eastAsia" w:eastAsia="方正仿宋_GBK"/>
          <w:color w:val="000000"/>
          <w:sz w:val="28"/>
        </w:rPr>
        <w:t>绩效指标：组织宣传活动次数不少于</w:t>
      </w:r>
      <w:r>
        <w:rPr>
          <w:rFonts w:eastAsia="方正仿宋_GBK"/>
          <w:color w:val="000000"/>
          <w:sz w:val="28"/>
        </w:rPr>
        <w:t>5</w:t>
      </w:r>
      <w:r>
        <w:rPr>
          <w:rFonts w:hint="eastAsia" w:eastAsia="方正仿宋_GBK"/>
          <w:color w:val="000000"/>
          <w:sz w:val="28"/>
        </w:rPr>
        <w:t>次，抽查对象的数量占全部对象的比率大于等于</w:t>
      </w:r>
      <w:r>
        <w:rPr>
          <w:rFonts w:eastAsia="方正仿宋_GBK"/>
          <w:color w:val="000000"/>
          <w:sz w:val="28"/>
        </w:rPr>
        <w:t>85%</w:t>
      </w:r>
      <w:r>
        <w:rPr>
          <w:rFonts w:hint="eastAsia" w:eastAsia="方正仿宋_GBK"/>
          <w:color w:val="000000"/>
          <w:sz w:val="28"/>
        </w:rPr>
        <w:t>，通过对食品安全的监管，确保本地区食品安全，接受食品安全监管的人群对食品安全监管工作的满意程度大于等于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（三）农村文化建设</w:t>
      </w:r>
    </w:p>
    <w:p>
      <w:pPr>
        <w:spacing w:line="500" w:lineRule="exact"/>
        <w:ind w:firstLine="56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color w:val="000000"/>
          <w:sz w:val="28"/>
        </w:rPr>
      </w:pPr>
      <w:r>
        <w:rPr>
          <w:rFonts w:hint="eastAsia" w:eastAsia="方正仿宋_GBK"/>
          <w:color w:val="000000"/>
          <w:sz w:val="28"/>
        </w:rPr>
        <w:t>绩效指标：各类公共文化服务活动组织开展的数量不少于</w:t>
      </w:r>
      <w:r>
        <w:rPr>
          <w:rFonts w:eastAsia="方正仿宋_GBK"/>
          <w:color w:val="000000"/>
          <w:sz w:val="28"/>
        </w:rPr>
        <w:t>10</w:t>
      </w:r>
      <w:r>
        <w:rPr>
          <w:rFonts w:hint="eastAsia" w:eastAsia="方正仿宋_GBK"/>
          <w:color w:val="000000"/>
          <w:sz w:val="28"/>
        </w:rPr>
        <w:t>次，文化设施达标率大于等于</w:t>
      </w:r>
      <w:r>
        <w:rPr>
          <w:rFonts w:eastAsia="方正仿宋_GBK"/>
          <w:color w:val="000000"/>
          <w:sz w:val="28"/>
        </w:rPr>
        <w:t>85%</w:t>
      </w:r>
      <w:r>
        <w:rPr>
          <w:rFonts w:hint="eastAsia" w:eastAsia="方正仿宋_GBK"/>
          <w:color w:val="000000"/>
          <w:sz w:val="28"/>
        </w:rPr>
        <w:t>，收藏及保管物品完好率大于等于</w:t>
      </w:r>
      <w:r>
        <w:rPr>
          <w:rFonts w:eastAsia="方正仿宋_GBK"/>
          <w:color w:val="000000"/>
          <w:sz w:val="28"/>
        </w:rPr>
        <w:t>85%</w:t>
      </w:r>
      <w:r>
        <w:rPr>
          <w:rFonts w:hint="eastAsia" w:eastAsia="方正仿宋_GBK"/>
          <w:color w:val="000000"/>
          <w:sz w:val="28"/>
        </w:rPr>
        <w:t>，通过支持重点宣传文化项目建设，带动全县宣传文化事业发展，群众对当年农村文化活动开展整体满意度大于等于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（四）乡镇纪律检查</w:t>
      </w:r>
    </w:p>
    <w:p>
      <w:pPr>
        <w:spacing w:line="500" w:lineRule="exact"/>
        <w:ind w:firstLine="56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00" w:lineRule="exact"/>
        <w:ind w:firstLine="560"/>
        <w:rPr>
          <w:rFonts w:eastAsia="方正仿宋_GBK"/>
          <w:color w:val="000000"/>
          <w:sz w:val="28"/>
        </w:rPr>
      </w:pPr>
      <w:r>
        <w:rPr>
          <w:rFonts w:hint="eastAsia" w:eastAsia="方正仿宋_GBK"/>
          <w:color w:val="000000"/>
          <w:sz w:val="28"/>
        </w:rPr>
        <w:t>绩效指标：组织召开监督检查会议的次数不少于</w:t>
      </w:r>
      <w:r>
        <w:rPr>
          <w:rFonts w:eastAsia="方正仿宋_GBK"/>
          <w:color w:val="000000"/>
          <w:sz w:val="28"/>
        </w:rPr>
        <w:t>5</w:t>
      </w:r>
      <w:r>
        <w:rPr>
          <w:rFonts w:hint="eastAsia" w:eastAsia="方正仿宋_GBK"/>
          <w:color w:val="000000"/>
          <w:sz w:val="28"/>
        </w:rPr>
        <w:t>次，办结案件数量占立案案件总数的比率大于</w:t>
      </w:r>
      <w:r>
        <w:rPr>
          <w:rFonts w:eastAsia="方正仿宋_GBK"/>
          <w:color w:val="000000"/>
          <w:sz w:val="28"/>
        </w:rPr>
        <w:t>85%</w:t>
      </w:r>
      <w:r>
        <w:rPr>
          <w:rFonts w:eastAsia="方正仿宋_GBK"/>
          <w:color w:val="000000"/>
          <w:sz w:val="28"/>
        </w:rPr>
        <w:tab/>
      </w:r>
      <w:r>
        <w:rPr>
          <w:rFonts w:hint="eastAsia" w:eastAsia="方正仿宋_GBK"/>
          <w:color w:val="000000"/>
          <w:sz w:val="28"/>
        </w:rPr>
        <w:t>，问题整改率大于等于</w:t>
      </w:r>
      <w:r>
        <w:rPr>
          <w:rFonts w:eastAsia="方正仿宋_GBK"/>
          <w:color w:val="000000"/>
          <w:sz w:val="28"/>
        </w:rPr>
        <w:t>85%</w:t>
      </w:r>
      <w:r>
        <w:rPr>
          <w:rFonts w:hint="eastAsia" w:eastAsia="方正仿宋_GBK"/>
          <w:color w:val="000000"/>
          <w:sz w:val="28"/>
        </w:rPr>
        <w:t>，通过实施纪检监督政策促进社会稳定水平逐步提高，群众对当年纪检监督工作的整体满意度大于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（五）综合治理及信访稳定</w:t>
      </w:r>
    </w:p>
    <w:p>
      <w:pPr>
        <w:spacing w:line="500" w:lineRule="exact"/>
        <w:ind w:firstLine="56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color w:val="000000"/>
          <w:sz w:val="28"/>
        </w:rPr>
      </w:pPr>
      <w:r>
        <w:rPr>
          <w:rFonts w:hint="eastAsia" w:eastAsia="方正仿宋_GBK"/>
          <w:color w:val="000000"/>
          <w:sz w:val="28"/>
        </w:rPr>
        <w:t>绩效指标：重点人员稳控率大于等于</w:t>
      </w:r>
      <w:r>
        <w:rPr>
          <w:rFonts w:eastAsia="方正仿宋_GBK"/>
          <w:color w:val="000000"/>
          <w:sz w:val="28"/>
        </w:rPr>
        <w:t>85%</w:t>
      </w:r>
      <w:r>
        <w:rPr>
          <w:rFonts w:hint="eastAsia" w:eastAsia="方正仿宋_GBK"/>
          <w:color w:val="000000"/>
          <w:sz w:val="28"/>
        </w:rPr>
        <w:t>，重大安保任务完成率大于等于</w:t>
      </w:r>
      <w:r>
        <w:rPr>
          <w:rFonts w:eastAsia="方正仿宋_GBK"/>
          <w:color w:val="000000"/>
          <w:sz w:val="28"/>
        </w:rPr>
        <w:t>85%</w:t>
      </w:r>
      <w:r>
        <w:rPr>
          <w:rFonts w:hint="eastAsia" w:eastAsia="方正仿宋_GBK"/>
          <w:color w:val="000000"/>
          <w:sz w:val="28"/>
        </w:rPr>
        <w:t>，退役安置满意度大于等于</w:t>
      </w:r>
      <w:r>
        <w:rPr>
          <w:rFonts w:eastAsia="方正仿宋_GBK"/>
          <w:color w:val="000000"/>
          <w:sz w:val="28"/>
        </w:rPr>
        <w:t>85%</w:t>
      </w:r>
      <w:r>
        <w:rPr>
          <w:rFonts w:hint="eastAsia" w:eastAsia="方正仿宋_GBK"/>
          <w:color w:val="000000"/>
          <w:sz w:val="28"/>
        </w:rPr>
        <w:t>，通过维稳工作开展，促进社会稳定水平逐步提高，群众满意度大于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（六）乡镇办公用房修缮</w:t>
      </w:r>
    </w:p>
    <w:p>
      <w:pPr>
        <w:spacing w:line="500" w:lineRule="exact"/>
        <w:ind w:firstLine="56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00" w:lineRule="exact"/>
        <w:ind w:firstLine="560"/>
        <w:rPr>
          <w:rFonts w:eastAsia="方正仿宋_GBK"/>
          <w:color w:val="000000"/>
          <w:sz w:val="28"/>
        </w:rPr>
      </w:pPr>
      <w:r>
        <w:rPr>
          <w:rFonts w:hint="eastAsia" w:eastAsia="方正仿宋_GBK"/>
          <w:color w:val="000000"/>
          <w:sz w:val="28"/>
        </w:rPr>
        <w:t>绩效指标：修缮项目完成率大于等于</w:t>
      </w:r>
      <w:r>
        <w:rPr>
          <w:rFonts w:eastAsia="方正仿宋_GBK"/>
          <w:color w:val="000000"/>
          <w:sz w:val="28"/>
        </w:rPr>
        <w:t>85%</w:t>
      </w:r>
      <w:r>
        <w:rPr>
          <w:rFonts w:hint="eastAsia" w:eastAsia="方正仿宋_GBK"/>
          <w:color w:val="000000"/>
          <w:sz w:val="28"/>
        </w:rPr>
        <w:t>，修缮项目验收合格率大于等于</w:t>
      </w:r>
      <w:r>
        <w:rPr>
          <w:rFonts w:eastAsia="方正仿宋_GBK"/>
          <w:color w:val="000000"/>
          <w:sz w:val="28"/>
        </w:rPr>
        <w:t>85%</w:t>
      </w:r>
      <w:r>
        <w:rPr>
          <w:rFonts w:hint="eastAsia" w:eastAsia="方正仿宋_GBK"/>
          <w:color w:val="000000"/>
          <w:sz w:val="28"/>
        </w:rPr>
        <w:t>，公共服务水平提升情况大于</w:t>
      </w:r>
      <w:r>
        <w:rPr>
          <w:rFonts w:eastAsia="方正仿宋_GBK"/>
          <w:color w:val="000000"/>
          <w:sz w:val="28"/>
        </w:rPr>
        <w:t>85%</w:t>
      </w:r>
      <w:r>
        <w:rPr>
          <w:rFonts w:hint="eastAsia" w:eastAsia="方正仿宋_GBK"/>
          <w:color w:val="000000"/>
          <w:sz w:val="28"/>
        </w:rPr>
        <w:t>，修缮后办公设施改善情况大于等于</w:t>
      </w:r>
      <w:r>
        <w:rPr>
          <w:rFonts w:eastAsia="方正仿宋_GBK"/>
          <w:color w:val="000000"/>
          <w:sz w:val="28"/>
        </w:rPr>
        <w:t>85%</w:t>
      </w:r>
      <w:r>
        <w:rPr>
          <w:rFonts w:hint="eastAsia" w:eastAsia="方正仿宋_GBK"/>
          <w:color w:val="000000"/>
          <w:sz w:val="28"/>
        </w:rPr>
        <w:t>。乡镇工作人员对修缮后的办公设备器材的满意度大于等于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（七）财政所工作</w:t>
      </w:r>
    </w:p>
    <w:p>
      <w:pPr>
        <w:spacing w:line="500" w:lineRule="exact"/>
        <w:ind w:firstLine="56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绩效指标：项目资金有效使用率大于等于</w:t>
      </w:r>
      <w:r>
        <w:rPr>
          <w:rFonts w:eastAsia="方正仿宋_GBK"/>
          <w:color w:val="000000"/>
          <w:sz w:val="28"/>
        </w:rPr>
        <w:t>85%</w:t>
      </w:r>
      <w:r>
        <w:rPr>
          <w:rFonts w:hint="eastAsia" w:eastAsia="方正仿宋_GBK"/>
          <w:color w:val="000000"/>
          <w:sz w:val="28"/>
        </w:rPr>
        <w:t>，财政所工作开展完成率大于</w:t>
      </w:r>
      <w:r>
        <w:rPr>
          <w:rFonts w:eastAsia="方正仿宋_GBK"/>
          <w:color w:val="000000"/>
          <w:sz w:val="28"/>
        </w:rPr>
        <w:t>85%</w:t>
      </w:r>
      <w:r>
        <w:rPr>
          <w:rFonts w:hint="eastAsia" w:eastAsia="方正仿宋_GBK"/>
          <w:color w:val="000000"/>
          <w:sz w:val="28"/>
        </w:rPr>
        <w:t>，通过开展乡镇财政工作促进乡镇经济逐步提高，接受财政所服务的人群对财政所提供服务的满意程度大于等于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（八）团委工作</w:t>
      </w:r>
    </w:p>
    <w:p>
      <w:pPr>
        <w:spacing w:line="500" w:lineRule="exact"/>
        <w:ind w:firstLine="560"/>
        <w:rPr>
          <w:rFonts w:eastAsia="方正仿宋_GBK"/>
          <w:color w:val="000000"/>
          <w:sz w:val="28"/>
        </w:rPr>
      </w:pPr>
      <w:r>
        <w:rPr>
          <w:rFonts w:hint="eastAsia" w:eastAsia="方正仿宋_GBK"/>
          <w:color w:val="000000"/>
          <w:sz w:val="28"/>
        </w:rPr>
        <w:t>绩效目标：科学地继承和发扬共青团的优良传统，创新团的工作，找准新时代的中心定位，把各项改革措施不折不扣落实到位。</w:t>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绩效指标：在新闻媒体开办宣传专栏的数量不少于</w:t>
      </w:r>
      <w:r>
        <w:rPr>
          <w:rFonts w:eastAsia="方正仿宋_GBK"/>
          <w:color w:val="000000"/>
          <w:sz w:val="28"/>
        </w:rPr>
        <w:t>5</w:t>
      </w:r>
      <w:r>
        <w:rPr>
          <w:rFonts w:hint="eastAsia" w:eastAsia="方正仿宋_GBK"/>
          <w:color w:val="000000"/>
          <w:sz w:val="28"/>
        </w:rPr>
        <w:t>个，制作宣传品的数量不少于</w:t>
      </w:r>
      <w:r>
        <w:rPr>
          <w:rFonts w:eastAsia="方正仿宋_GBK"/>
          <w:color w:val="000000"/>
          <w:sz w:val="28"/>
        </w:rPr>
        <w:t>2000</w:t>
      </w:r>
      <w:r>
        <w:rPr>
          <w:rFonts w:hint="eastAsia" w:eastAsia="方正仿宋_GBK"/>
          <w:color w:val="000000"/>
          <w:sz w:val="28"/>
        </w:rPr>
        <w:t>份，参与决策咨询活动次数不少于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次，在本地区产生的重要影响，得到广大受众的充分认可，群众对团委工作的整体满意度大于等于</w:t>
      </w:r>
      <w:r>
        <w:rPr>
          <w:rFonts w:eastAsia="方正仿宋_GBK"/>
          <w:color w:val="000000"/>
          <w:sz w:val="28"/>
        </w:rPr>
        <w:t>85%</w:t>
      </w:r>
      <w:r>
        <w:rPr>
          <w:rFonts w:hint="eastAsia" w:eastAsia="方正仿宋_GBK"/>
          <w:color w:val="000000"/>
          <w:sz w:val="28"/>
        </w:rPr>
        <w:t>。</w:t>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（九）人大主席团活动</w:t>
      </w:r>
    </w:p>
    <w:p>
      <w:pPr>
        <w:spacing w:line="500" w:lineRule="exact"/>
        <w:ind w:firstLine="560"/>
        <w:rPr>
          <w:rFonts w:eastAsia="方正仿宋_GBK"/>
          <w:color w:val="000000"/>
          <w:sz w:val="28"/>
        </w:rPr>
      </w:pPr>
      <w:r>
        <w:rPr>
          <w:rFonts w:hint="eastAsia" w:eastAsia="方正仿宋_GBK"/>
          <w:color w:val="000000"/>
          <w:sz w:val="28"/>
        </w:rPr>
        <w:t>绩效目标：为了更好落实中央</w:t>
      </w:r>
      <w:r>
        <w:rPr>
          <w:rFonts w:eastAsia="方正仿宋_GBK"/>
          <w:color w:val="000000"/>
          <w:sz w:val="28"/>
        </w:rPr>
        <w:t>2015</w:t>
      </w:r>
      <w:r>
        <w:rPr>
          <w:rFonts w:hint="eastAsia" w:eastAsia="方正仿宋_GBK"/>
          <w:color w:val="000000"/>
          <w:sz w:val="28"/>
        </w:rPr>
        <w:t>（</w:t>
      </w:r>
      <w:r>
        <w:rPr>
          <w:rFonts w:eastAsia="方正仿宋_GBK"/>
          <w:color w:val="000000"/>
          <w:sz w:val="28"/>
        </w:rPr>
        <w:t>18</w:t>
      </w:r>
      <w:r>
        <w:rPr>
          <w:rFonts w:hint="eastAsia" w:eastAsia="方正仿宋_GBK"/>
          <w:color w:val="000000"/>
          <w:sz w:val="28"/>
        </w:rPr>
        <w:t>）号文件精神和省委市委落实中央</w:t>
      </w:r>
      <w:r>
        <w:rPr>
          <w:rFonts w:eastAsia="方正仿宋_GBK"/>
          <w:color w:val="000000"/>
          <w:sz w:val="28"/>
        </w:rPr>
        <w:t>18</w:t>
      </w:r>
      <w:r>
        <w:rPr>
          <w:rFonts w:hint="eastAsia" w:eastAsia="方正仿宋_GBK"/>
          <w:color w:val="000000"/>
          <w:sz w:val="28"/>
        </w:rPr>
        <w:t>号文件的意见，切实加强基层人大建设，保障乡人大主席团的正常运转。</w:t>
      </w:r>
    </w:p>
    <w:p>
      <w:pPr>
        <w:spacing w:line="500" w:lineRule="exact"/>
        <w:ind w:firstLine="560"/>
        <w:rPr>
          <w:rFonts w:eastAsia="方正仿宋_GBK"/>
          <w:color w:val="000000"/>
          <w:sz w:val="28"/>
        </w:rPr>
      </w:pPr>
      <w:r>
        <w:rPr>
          <w:rFonts w:hint="eastAsia" w:eastAsia="方正仿宋_GBK"/>
          <w:color w:val="000000"/>
          <w:sz w:val="28"/>
        </w:rPr>
        <w:t>绩效指标：工作经费使用率大于等于</w:t>
      </w:r>
      <w:r>
        <w:rPr>
          <w:rFonts w:eastAsia="方正仿宋_GBK"/>
          <w:color w:val="000000"/>
          <w:sz w:val="28"/>
        </w:rPr>
        <w:t>85%</w:t>
      </w:r>
      <w:r>
        <w:rPr>
          <w:rFonts w:hint="eastAsia" w:eastAsia="方正仿宋_GBK"/>
          <w:color w:val="000000"/>
          <w:sz w:val="28"/>
        </w:rPr>
        <w:t>，工作经费拨付率大于等于</w:t>
      </w:r>
      <w:r>
        <w:rPr>
          <w:rFonts w:eastAsia="方正仿宋_GBK"/>
          <w:color w:val="000000"/>
          <w:sz w:val="28"/>
        </w:rPr>
        <w:t>85%</w:t>
      </w:r>
      <w:r>
        <w:rPr>
          <w:rFonts w:hint="eastAsia" w:eastAsia="方正仿宋_GBK"/>
          <w:color w:val="000000"/>
          <w:sz w:val="28"/>
        </w:rPr>
        <w:t>，参与决策咨询活动次数不少于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次，在本地区产生的重要影响，得到广大受众的充分认可，群众对当年人大主席团工作的整体满意度大于等于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（十）乡镇其他相关工作</w:t>
      </w:r>
    </w:p>
    <w:p>
      <w:pPr>
        <w:spacing w:line="500" w:lineRule="exact"/>
        <w:ind w:firstLine="56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00" w:lineRule="exact"/>
        <w:ind w:firstLine="56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三、工作保障措施</w:t>
      </w:r>
      <w:r>
        <w:rPr>
          <w:rFonts w:eastAsia="方正仿宋_GBK"/>
          <w:color w:val="000000"/>
          <w:sz w:val="28"/>
        </w:rPr>
        <w:fldChar w:fldCharType="begin"/>
      </w:r>
      <w:r>
        <w:rPr>
          <w:rFonts w:eastAsia="方正仿宋_GBK"/>
          <w:color w:val="000000"/>
          <w:sz w:val="28"/>
        </w:rPr>
        <w:instrText xml:space="preserve">tc "</w:instrText>
      </w:r>
      <w:bookmarkStart w:id="4" w:name="_Toc30001317"/>
      <w:r>
        <w:rPr>
          <w:rFonts w:hint="eastAsia" w:eastAsia="方正仿宋_GBK"/>
          <w:color w:val="000000"/>
          <w:sz w:val="28"/>
        </w:rPr>
        <w:instrText xml:space="preserve">工作保障措施</w:instrText>
      </w:r>
      <w:bookmarkEnd w:id="4"/>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（一）完善制度建设。制定完善本乡镇预算绩效管理制度、资金管理办法、工作保障制度等，为本乡镇全年预算绩效目标的实现奠定制度基础。</w:t>
      </w:r>
    </w:p>
    <w:p>
      <w:pPr>
        <w:spacing w:line="500" w:lineRule="exact"/>
        <w:ind w:firstLine="560"/>
        <w:rPr>
          <w:rFonts w:eastAsia="方正仿宋_GBK"/>
          <w:color w:val="000000"/>
          <w:sz w:val="28"/>
        </w:rPr>
      </w:pPr>
      <w:r>
        <w:rPr>
          <w:rFonts w:hint="eastAsia" w:eastAsia="方正仿宋_GBK"/>
          <w:color w:val="000000"/>
          <w:sz w:val="28"/>
        </w:rPr>
        <w:t>（二）加强支出管理。通过优化支出结构、编细编实预算、加快履行政府采购手续、尽快启动项目、及时支付资金、</w:t>
      </w:r>
      <w:r>
        <w:rPr>
          <w:rFonts w:eastAsia="方正仿宋_GBK"/>
          <w:color w:val="000000"/>
          <w:sz w:val="28"/>
        </w:rPr>
        <w:t>6</w:t>
      </w:r>
      <w:r>
        <w:rPr>
          <w:rFonts w:hint="eastAsia" w:eastAsia="方正仿宋_GBK"/>
          <w:color w:val="000000"/>
          <w:sz w:val="28"/>
        </w:rPr>
        <w:t>月底前细化代编预算、按规定及时下达资金等多种措施，确保支出进度达标。</w:t>
      </w:r>
    </w:p>
    <w:p>
      <w:pPr>
        <w:spacing w:line="500" w:lineRule="exact"/>
        <w:ind w:firstLine="560"/>
        <w:rPr>
          <w:rFonts w:eastAsia="方正仿宋_GBK"/>
          <w:color w:val="000000"/>
          <w:sz w:val="28"/>
        </w:rPr>
      </w:pPr>
      <w:r>
        <w:rPr>
          <w:rFonts w:hint="eastAsia" w:eastAsia="方正仿宋_GBK"/>
          <w:color w:val="000000"/>
          <w:sz w:val="28"/>
        </w:rPr>
        <w:t>（三）加强绩效运行监控。按要求开展绩效运行监控，发现问题及时采取措施，确保绩效目标如期保质实现。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hint="eastAsia" w:eastAsia="方正仿宋_GBK"/>
          <w:color w:val="000000"/>
          <w:sz w:val="28"/>
        </w:rPr>
        <w:t>（四）做好绩效自评。按要求开展上年度部门预算绩效自评和重点评价工作，对评价中发现的问题及时整改，调整优化支出结构，提高财政资金使用效益。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hint="eastAsia" w:eastAsia="方正仿宋_GBK"/>
          <w:color w:val="000000"/>
          <w:sz w:val="28"/>
        </w:rPr>
        <w:t>（五）规范财务资产管理。完善财务管理制度，严格审批程序，加强固定资产登记、使用和报废处置管理，做到支出合理，物尽其用。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hint="eastAsia" w:eastAsia="方正仿宋_GBK"/>
          <w:color w:val="000000"/>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jc w:val="center"/>
      </w:pPr>
    </w:p>
    <w:p>
      <w:pPr>
        <w:ind w:firstLine="560"/>
        <w:outlineLvl w:val="3"/>
      </w:pPr>
      <w:bookmarkStart w:id="5" w:name="_Toc_4_4_0000000004"/>
      <w:r>
        <w:rPr>
          <w:rFonts w:ascii="方正仿宋_GBK" w:hAnsi="方正仿宋_GBK" w:eastAsia="方正仿宋_GBK" w:cs="方正仿宋_GBK"/>
          <w:color w:val="000000"/>
          <w:sz w:val="28"/>
        </w:rPr>
        <w:t>1.财政事务工作经费绩效目标表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13062323P007401100199</w:t>
            </w:r>
          </w:p>
        </w:tc>
        <w:tc>
          <w:tcPr>
            <w:tcW w:w="1587" w:type="dxa"/>
            <w:vAlign w:val="center"/>
          </w:tcPr>
          <w:p>
            <w:pPr>
              <w:pStyle w:val="15"/>
            </w:pPr>
            <w:r>
              <w:t>项目名称</w:t>
            </w:r>
          </w:p>
        </w:tc>
        <w:tc>
          <w:tcPr>
            <w:tcW w:w="4422" w:type="dxa"/>
            <w:gridSpan w:val="3"/>
            <w:vAlign w:val="center"/>
          </w:tcPr>
          <w:p>
            <w:pPr>
              <w:pStyle w:val="17"/>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管理着辖区内各项惠民政策补贴资金、财政扶贫资金、村级公益事业一事一议奖补资金、农村“三资”委托代理、国库集中支付电子化、乡镇日常预算收支等财政业务工作，财经办承担的业务多，工作量大，为满足工作需求，将财政事务工作经费列入财政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工作开展完成率（%）</w:t>
            </w:r>
          </w:p>
        </w:tc>
        <w:tc>
          <w:tcPr>
            <w:tcW w:w="2891" w:type="dxa"/>
            <w:vAlign w:val="center"/>
          </w:tcPr>
          <w:p>
            <w:pPr>
              <w:pStyle w:val="17"/>
            </w:pPr>
            <w:r>
              <w:t>工作实际开展占计划工作的比率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资金实际使用金额占拨付金额的比率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保障人员办公</w:t>
            </w:r>
          </w:p>
        </w:tc>
        <w:tc>
          <w:tcPr>
            <w:tcW w:w="2891" w:type="dxa"/>
            <w:vAlign w:val="center"/>
          </w:tcPr>
          <w:p>
            <w:pPr>
              <w:pStyle w:val="17"/>
            </w:pPr>
            <w:r>
              <w:t>能够保障人员日常工作效率。</w:t>
            </w:r>
          </w:p>
        </w:tc>
        <w:tc>
          <w:tcPr>
            <w:tcW w:w="1276" w:type="dxa"/>
            <w:vAlign w:val="center"/>
          </w:tcPr>
          <w:p>
            <w:pPr>
              <w:pStyle w:val="17"/>
            </w:pPr>
            <w:r>
              <w:t>≥90百分比</w:t>
            </w:r>
          </w:p>
        </w:tc>
        <w:tc>
          <w:tcPr>
            <w:tcW w:w="1843"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5"/>
      <w:r>
        <w:rPr>
          <w:rFonts w:ascii="方正仿宋_GBK" w:hAnsi="方正仿宋_GBK" w:eastAsia="方正仿宋_GBK" w:cs="方正仿宋_GBK"/>
          <w:color w:val="000000"/>
          <w:sz w:val="28"/>
        </w:rPr>
        <w:t>2.纪检经费绩效目标表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13062323P00739810023G</w:t>
            </w:r>
          </w:p>
        </w:tc>
        <w:tc>
          <w:tcPr>
            <w:tcW w:w="1587" w:type="dxa"/>
            <w:vAlign w:val="center"/>
          </w:tcPr>
          <w:p>
            <w:pPr>
              <w:pStyle w:val="15"/>
            </w:pPr>
            <w:r>
              <w:t>项目名称</w:t>
            </w:r>
          </w:p>
        </w:tc>
        <w:tc>
          <w:tcPr>
            <w:tcW w:w="4422" w:type="dxa"/>
            <w:gridSpan w:val="3"/>
            <w:vAlign w:val="center"/>
          </w:tcPr>
          <w:p>
            <w:pPr>
              <w:pStyle w:val="17"/>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乡镇纪检专项经费用于乡纪检部门具体查办的案件及处理重大信访问题的经费。认真落实纪检部门各项任务，加强监督检查，促进党风廉政。发挥乡纪检监督职能，做到有案必查，有腐必惩，深化廉政教育学习。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组织监督检查会议次数</w:t>
            </w:r>
          </w:p>
        </w:tc>
        <w:tc>
          <w:tcPr>
            <w:tcW w:w="2891" w:type="dxa"/>
            <w:vAlign w:val="center"/>
          </w:tcPr>
          <w:p>
            <w:pPr>
              <w:pStyle w:val="17"/>
            </w:pPr>
            <w:r>
              <w:t>组织召开监督检查会议的次数</w:t>
            </w:r>
          </w:p>
        </w:tc>
        <w:tc>
          <w:tcPr>
            <w:tcW w:w="1276" w:type="dxa"/>
            <w:vAlign w:val="center"/>
          </w:tcPr>
          <w:p>
            <w:pPr>
              <w:pStyle w:val="17"/>
            </w:pPr>
            <w:r>
              <w:t>≥5次</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案件办结率</w:t>
            </w:r>
          </w:p>
        </w:tc>
        <w:tc>
          <w:tcPr>
            <w:tcW w:w="2891" w:type="dxa"/>
            <w:vAlign w:val="center"/>
          </w:tcPr>
          <w:p>
            <w:pPr>
              <w:pStyle w:val="17"/>
            </w:pPr>
            <w:r>
              <w:t>办结案件数量占立案案件总数的比率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社会会影响力</w:t>
            </w:r>
          </w:p>
        </w:tc>
        <w:tc>
          <w:tcPr>
            <w:tcW w:w="2891" w:type="dxa"/>
            <w:vAlign w:val="center"/>
          </w:tcPr>
          <w:p>
            <w:pPr>
              <w:pStyle w:val="17"/>
            </w:pPr>
            <w:r>
              <w:t>在本地区产生的重要影响，得到广大受众的充分认可</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6"/>
      <w:r>
        <w:rPr>
          <w:rFonts w:ascii="方正仿宋_GBK" w:hAnsi="方正仿宋_GBK" w:eastAsia="方正仿宋_GBK" w:cs="方正仿宋_GBK"/>
          <w:color w:val="000000"/>
          <w:sz w:val="28"/>
        </w:rPr>
        <w:t>3.农村文化建设资金绩效目标表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13062323P00740210024Q</w:t>
            </w:r>
          </w:p>
        </w:tc>
        <w:tc>
          <w:tcPr>
            <w:tcW w:w="1587" w:type="dxa"/>
            <w:vAlign w:val="center"/>
          </w:tcPr>
          <w:p>
            <w:pPr>
              <w:pStyle w:val="15"/>
            </w:pPr>
            <w:r>
              <w:t>项目名称</w:t>
            </w:r>
          </w:p>
        </w:tc>
        <w:tc>
          <w:tcPr>
            <w:tcW w:w="4422" w:type="dxa"/>
            <w:gridSpan w:val="3"/>
            <w:vAlign w:val="center"/>
          </w:tcPr>
          <w:p>
            <w:pPr>
              <w:pStyle w:val="17"/>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1.75</w:t>
            </w:r>
          </w:p>
        </w:tc>
        <w:tc>
          <w:tcPr>
            <w:tcW w:w="1587" w:type="dxa"/>
            <w:vAlign w:val="center"/>
          </w:tcPr>
          <w:p>
            <w:pPr>
              <w:pStyle w:val="15"/>
            </w:pPr>
            <w:r>
              <w:t>其中：财政    资金</w:t>
            </w:r>
          </w:p>
        </w:tc>
        <w:tc>
          <w:tcPr>
            <w:tcW w:w="1304" w:type="dxa"/>
            <w:vAlign w:val="center"/>
          </w:tcPr>
          <w:p>
            <w:pPr>
              <w:pStyle w:val="17"/>
            </w:pPr>
            <w:r>
              <w:t>1.75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用于加强文化队伍和村级文化阵地建设，营造文化氛围，发掘民间艺术资源以及开展群娱活动。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0.75</w:t>
            </w:r>
          </w:p>
        </w:tc>
        <w:tc>
          <w:tcPr>
            <w:tcW w:w="1304" w:type="dxa"/>
            <w:vAlign w:val="center"/>
          </w:tcPr>
          <w:p>
            <w:pPr>
              <w:pStyle w:val="18"/>
            </w:pPr>
            <w:r>
              <w:t>1.25</w:t>
            </w:r>
          </w:p>
        </w:tc>
        <w:tc>
          <w:tcPr>
            <w:tcW w:w="3118" w:type="dxa"/>
            <w:gridSpan w:val="2"/>
            <w:vAlign w:val="center"/>
          </w:tcPr>
          <w:p>
            <w:pPr>
              <w:pStyle w:val="18"/>
            </w:pPr>
            <w:r>
              <w:t>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公共文化服务活动数量</w:t>
            </w:r>
          </w:p>
        </w:tc>
        <w:tc>
          <w:tcPr>
            <w:tcW w:w="2891" w:type="dxa"/>
            <w:vAlign w:val="center"/>
          </w:tcPr>
          <w:p>
            <w:pPr>
              <w:pStyle w:val="17"/>
            </w:pPr>
            <w:r>
              <w:t>各类公共文化服务活动组织开展的数量</w:t>
            </w:r>
          </w:p>
        </w:tc>
        <w:tc>
          <w:tcPr>
            <w:tcW w:w="1276" w:type="dxa"/>
            <w:vAlign w:val="center"/>
          </w:tcPr>
          <w:p>
            <w:pPr>
              <w:pStyle w:val="17"/>
            </w:pPr>
            <w:r>
              <w:t>≥5次</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文化设施达标率</w:t>
            </w:r>
          </w:p>
        </w:tc>
        <w:tc>
          <w:tcPr>
            <w:tcW w:w="2891" w:type="dxa"/>
            <w:vAlign w:val="center"/>
          </w:tcPr>
          <w:p>
            <w:pPr>
              <w:pStyle w:val="17"/>
            </w:pPr>
            <w:r>
              <w:t>省内实际文化设施达标数量占文化设施总数的比率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文化建设及时率</w:t>
            </w:r>
          </w:p>
        </w:tc>
        <w:tc>
          <w:tcPr>
            <w:tcW w:w="2891" w:type="dxa"/>
            <w:vAlign w:val="center"/>
          </w:tcPr>
          <w:p>
            <w:pPr>
              <w:pStyle w:val="17"/>
            </w:pPr>
            <w:r>
              <w:t>文化建设及时率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预算成本控制内完成任务</w:t>
            </w:r>
          </w:p>
        </w:tc>
        <w:tc>
          <w:tcPr>
            <w:tcW w:w="2891" w:type="dxa"/>
            <w:vAlign w:val="center"/>
          </w:tcPr>
          <w:p>
            <w:pPr>
              <w:pStyle w:val="17"/>
            </w:pPr>
            <w:r>
              <w:t>预算成本控制内完成任务</w:t>
            </w:r>
          </w:p>
        </w:tc>
        <w:tc>
          <w:tcPr>
            <w:tcW w:w="1276" w:type="dxa"/>
            <w:vAlign w:val="center"/>
          </w:tcPr>
          <w:p>
            <w:pPr>
              <w:pStyle w:val="17"/>
            </w:pPr>
            <w:r>
              <w:t>≤1.75万元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增强文化建设</w:t>
            </w:r>
          </w:p>
        </w:tc>
        <w:tc>
          <w:tcPr>
            <w:tcW w:w="2891" w:type="dxa"/>
            <w:vAlign w:val="center"/>
          </w:tcPr>
          <w:p>
            <w:pPr>
              <w:pStyle w:val="17"/>
            </w:pPr>
            <w:r>
              <w:t>增强文化建设</w:t>
            </w:r>
          </w:p>
        </w:tc>
        <w:tc>
          <w:tcPr>
            <w:tcW w:w="1276" w:type="dxa"/>
            <w:vAlign w:val="center"/>
          </w:tcPr>
          <w:p>
            <w:pPr>
              <w:pStyle w:val="17"/>
            </w:pPr>
            <w:r>
              <w:t>增强</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7"/>
      <w:r>
        <w:rPr>
          <w:rFonts w:ascii="方正仿宋_GBK" w:hAnsi="方正仿宋_GBK" w:eastAsia="方正仿宋_GBK" w:cs="方正仿宋_GBK"/>
          <w:color w:val="000000"/>
          <w:sz w:val="28"/>
        </w:rPr>
        <w:t>4.人大主席团活动经费绩效目标表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13062323P00740010020Y</w:t>
            </w:r>
          </w:p>
        </w:tc>
        <w:tc>
          <w:tcPr>
            <w:tcW w:w="1587" w:type="dxa"/>
            <w:vAlign w:val="center"/>
          </w:tcPr>
          <w:p>
            <w:pPr>
              <w:pStyle w:val="15"/>
            </w:pPr>
            <w:r>
              <w:t>项目名称</w:t>
            </w:r>
          </w:p>
        </w:tc>
        <w:tc>
          <w:tcPr>
            <w:tcW w:w="4422" w:type="dxa"/>
            <w:gridSpan w:val="3"/>
            <w:vAlign w:val="center"/>
          </w:tcPr>
          <w:p>
            <w:pPr>
              <w:pStyle w:val="17"/>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了更好落实【2015】（18）号文件文件精神和省委、市委落实18号文件的意见，切实加强基层人大建设，把乡镇人大主席团活动经费列入2022年财政预算。主任会议决定按乡镇代表团人数10名代表以上乡镇安排2万元经费，不足10名代表的乡镇安排1万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人大主席团活动开展情况</w:t>
            </w:r>
          </w:p>
        </w:tc>
        <w:tc>
          <w:tcPr>
            <w:tcW w:w="2891" w:type="dxa"/>
            <w:vAlign w:val="center"/>
          </w:tcPr>
          <w:p>
            <w:pPr>
              <w:pStyle w:val="17"/>
            </w:pPr>
            <w:r>
              <w:t>已开展活动占应开展活动的比率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人大主席团活动开展效果</w:t>
            </w:r>
          </w:p>
        </w:tc>
        <w:tc>
          <w:tcPr>
            <w:tcW w:w="2891" w:type="dxa"/>
            <w:vAlign w:val="center"/>
          </w:tcPr>
          <w:p>
            <w:pPr>
              <w:pStyle w:val="17"/>
            </w:pPr>
            <w:r>
              <w:t>效果良好的活动占已开展活动的比率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参与政府决策活动次数比率</w:t>
            </w:r>
          </w:p>
        </w:tc>
        <w:tc>
          <w:tcPr>
            <w:tcW w:w="2891" w:type="dxa"/>
            <w:vAlign w:val="center"/>
          </w:tcPr>
          <w:p>
            <w:pPr>
              <w:pStyle w:val="17"/>
            </w:pPr>
            <w:r>
              <w:t>参与决策咨询活动次数比率</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08"/>
      <w:r>
        <w:rPr>
          <w:rFonts w:ascii="方正仿宋_GBK" w:hAnsi="方正仿宋_GBK" w:eastAsia="方正仿宋_GBK" w:cs="方正仿宋_GBK"/>
          <w:color w:val="000000"/>
          <w:sz w:val="28"/>
        </w:rPr>
        <w:t>5.食安经费绩效目标表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13062323P007397100227</w:t>
            </w:r>
          </w:p>
        </w:tc>
        <w:tc>
          <w:tcPr>
            <w:tcW w:w="1587" w:type="dxa"/>
            <w:vAlign w:val="center"/>
          </w:tcPr>
          <w:p>
            <w:pPr>
              <w:pStyle w:val="15"/>
            </w:pPr>
            <w:r>
              <w:t>项目名称</w:t>
            </w:r>
          </w:p>
        </w:tc>
        <w:tc>
          <w:tcPr>
            <w:tcW w:w="4422" w:type="dxa"/>
            <w:gridSpan w:val="3"/>
            <w:vAlign w:val="center"/>
          </w:tcPr>
          <w:p>
            <w:pPr>
              <w:pStyle w:val="17"/>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0.64</w:t>
            </w:r>
          </w:p>
        </w:tc>
        <w:tc>
          <w:tcPr>
            <w:tcW w:w="1587" w:type="dxa"/>
            <w:vAlign w:val="center"/>
          </w:tcPr>
          <w:p>
            <w:pPr>
              <w:pStyle w:val="15"/>
            </w:pPr>
            <w:r>
              <w:t>其中：财政    资金</w:t>
            </w:r>
          </w:p>
        </w:tc>
        <w:tc>
          <w:tcPr>
            <w:tcW w:w="1304" w:type="dxa"/>
            <w:vAlign w:val="center"/>
          </w:tcPr>
          <w:p>
            <w:pPr>
              <w:pStyle w:val="17"/>
            </w:pPr>
            <w:r>
              <w:t>0.64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安全作为重大的基本民生问题，党中央、国务院一贯高度重视，为进一步加强本乡食品安全工作，落实食品生产经营者主体责任，增强政府监管效能，发挥社会组织的作用，严格监管食品生产经营活动，严厉惩处涉及食品安全的违法犯罪行为，食品安全工作实行预防为主、风险管理、全程控制、社会共治、建立科学、严格监督管理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0.50</w:t>
            </w:r>
          </w:p>
        </w:tc>
        <w:tc>
          <w:tcPr>
            <w:tcW w:w="1304" w:type="dxa"/>
            <w:vAlign w:val="center"/>
          </w:tcPr>
          <w:p>
            <w:pPr>
              <w:pStyle w:val="18"/>
            </w:pPr>
            <w:r>
              <w:t xml:space="preserve"> </w:t>
            </w:r>
          </w:p>
        </w:tc>
        <w:tc>
          <w:tcPr>
            <w:tcW w:w="3118" w:type="dxa"/>
            <w:gridSpan w:val="2"/>
            <w:vAlign w:val="center"/>
          </w:tcPr>
          <w:p>
            <w:pPr>
              <w:pStyle w:val="18"/>
            </w:pPr>
            <w:r>
              <w:t>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组织宣传活动次数（次）</w:t>
            </w:r>
          </w:p>
        </w:tc>
        <w:tc>
          <w:tcPr>
            <w:tcW w:w="2891" w:type="dxa"/>
            <w:vAlign w:val="center"/>
          </w:tcPr>
          <w:p>
            <w:pPr>
              <w:pStyle w:val="17"/>
            </w:pPr>
            <w:r>
              <w:t>组织宣传活动次数</w:t>
            </w:r>
          </w:p>
        </w:tc>
        <w:tc>
          <w:tcPr>
            <w:tcW w:w="1276" w:type="dxa"/>
            <w:vAlign w:val="center"/>
          </w:tcPr>
          <w:p>
            <w:pPr>
              <w:pStyle w:val="17"/>
            </w:pPr>
            <w:r>
              <w:t>≥5次</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抽查覆盖率</w:t>
            </w:r>
          </w:p>
        </w:tc>
        <w:tc>
          <w:tcPr>
            <w:tcW w:w="2891" w:type="dxa"/>
            <w:vAlign w:val="center"/>
          </w:tcPr>
          <w:p>
            <w:pPr>
              <w:pStyle w:val="17"/>
            </w:pPr>
            <w:r>
              <w:t>抽查对象的数量占全部对象的比率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≤0.64万元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对食品安全的监管作用</w:t>
            </w:r>
          </w:p>
        </w:tc>
        <w:tc>
          <w:tcPr>
            <w:tcW w:w="2891" w:type="dxa"/>
            <w:vAlign w:val="center"/>
          </w:tcPr>
          <w:p>
            <w:pPr>
              <w:pStyle w:val="17"/>
            </w:pPr>
            <w:r>
              <w:t>通过对食品安全的监管，确保本地区食品安全</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09"/>
      <w:r>
        <w:rPr>
          <w:rFonts w:ascii="方正仿宋_GBK" w:hAnsi="方正仿宋_GBK" w:eastAsia="方正仿宋_GBK" w:cs="方正仿宋_GBK"/>
          <w:color w:val="000000"/>
          <w:sz w:val="28"/>
        </w:rPr>
        <w:t>6.团委经费绩效目标表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13062323P00739910020B</w:t>
            </w:r>
          </w:p>
        </w:tc>
        <w:tc>
          <w:tcPr>
            <w:tcW w:w="1587" w:type="dxa"/>
            <w:vAlign w:val="center"/>
          </w:tcPr>
          <w:p>
            <w:pPr>
              <w:pStyle w:val="15"/>
            </w:pPr>
            <w:r>
              <w:t>项目名称</w:t>
            </w:r>
          </w:p>
        </w:tc>
        <w:tc>
          <w:tcPr>
            <w:tcW w:w="4422" w:type="dxa"/>
            <w:gridSpan w:val="3"/>
            <w:vAlign w:val="center"/>
          </w:tcPr>
          <w:p>
            <w:pPr>
              <w:pStyle w:val="17"/>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严格落实中共省委组织部、河北省财政厅、共青团河北省委员会关于印发《关于加强新形势下基层党建带团建工作的实施意见》的通知（冀团联字【63】号）中“县级团委原则上每年不少于10万元、乡镇不少于2万元的工作经费纳入财政预算”的规定，由团县委、乡镇团委根据工作需要据实列入财政预算，保障共青团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1.00</w:t>
            </w:r>
          </w:p>
        </w:tc>
        <w:tc>
          <w:tcPr>
            <w:tcW w:w="1304" w:type="dxa"/>
            <w:vAlign w:val="center"/>
          </w:tcPr>
          <w:p>
            <w:pPr>
              <w:pStyle w:val="18"/>
            </w:pPr>
            <w:r>
              <w:t>1.50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开办宣传专栏数</w:t>
            </w:r>
          </w:p>
        </w:tc>
        <w:tc>
          <w:tcPr>
            <w:tcW w:w="2891" w:type="dxa"/>
            <w:vAlign w:val="center"/>
          </w:tcPr>
          <w:p>
            <w:pPr>
              <w:pStyle w:val="17"/>
            </w:pPr>
            <w:r>
              <w:t>在新闻媒体开办宣传专栏数量</w:t>
            </w:r>
          </w:p>
        </w:tc>
        <w:tc>
          <w:tcPr>
            <w:tcW w:w="1276" w:type="dxa"/>
            <w:vAlign w:val="center"/>
          </w:tcPr>
          <w:p>
            <w:pPr>
              <w:pStyle w:val="17"/>
            </w:pPr>
            <w:r>
              <w:t>≥5个</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制作宣传品</w:t>
            </w:r>
          </w:p>
        </w:tc>
        <w:tc>
          <w:tcPr>
            <w:tcW w:w="2891" w:type="dxa"/>
            <w:vAlign w:val="center"/>
          </w:tcPr>
          <w:p>
            <w:pPr>
              <w:pStyle w:val="17"/>
            </w:pPr>
            <w:r>
              <w:t>制作宣传品数量</w:t>
            </w:r>
          </w:p>
        </w:tc>
        <w:tc>
          <w:tcPr>
            <w:tcW w:w="1276" w:type="dxa"/>
            <w:vAlign w:val="center"/>
          </w:tcPr>
          <w:p>
            <w:pPr>
              <w:pStyle w:val="17"/>
            </w:pPr>
            <w:r>
              <w:t>≥1000份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年度项目按规定时间完成</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≤2万元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参与政府决策活动数</w:t>
            </w:r>
          </w:p>
        </w:tc>
        <w:tc>
          <w:tcPr>
            <w:tcW w:w="2891" w:type="dxa"/>
            <w:vAlign w:val="center"/>
          </w:tcPr>
          <w:p>
            <w:pPr>
              <w:pStyle w:val="17"/>
            </w:pPr>
            <w:r>
              <w:t>参与决策咨询活动次数</w:t>
            </w:r>
          </w:p>
        </w:tc>
        <w:tc>
          <w:tcPr>
            <w:tcW w:w="1276" w:type="dxa"/>
            <w:vAlign w:val="center"/>
          </w:tcPr>
          <w:p>
            <w:pPr>
              <w:pStyle w:val="17"/>
            </w:pPr>
            <w:r>
              <w:t>≥5次</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0"/>
      <w:r>
        <w:rPr>
          <w:rFonts w:ascii="方正仿宋_GBK" w:hAnsi="方正仿宋_GBK" w:eastAsia="方正仿宋_GBK" w:cs="方正仿宋_GBK"/>
          <w:color w:val="000000"/>
          <w:sz w:val="28"/>
        </w:rPr>
        <w:t>7.维稳经费（年初）绩效目标表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13062323P007395100199</w:t>
            </w:r>
          </w:p>
        </w:tc>
        <w:tc>
          <w:tcPr>
            <w:tcW w:w="1587" w:type="dxa"/>
            <w:vAlign w:val="center"/>
          </w:tcPr>
          <w:p>
            <w:pPr>
              <w:pStyle w:val="15"/>
            </w:pPr>
            <w:r>
              <w:t>项目名称</w:t>
            </w:r>
          </w:p>
        </w:tc>
        <w:tc>
          <w:tcPr>
            <w:tcW w:w="4422" w:type="dxa"/>
            <w:gridSpan w:val="3"/>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用于做好信访稳控工作，减少越级访、群访等恶性事件，有效的遏制非法上访；处理人民群众来信、来访，接待和处理人民群众反映的情况和问题。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4.00</w:t>
            </w:r>
          </w:p>
        </w:tc>
        <w:tc>
          <w:tcPr>
            <w:tcW w:w="1304" w:type="dxa"/>
            <w:vAlign w:val="center"/>
          </w:tcPr>
          <w:p>
            <w:pPr>
              <w:pStyle w:val="18"/>
            </w:pPr>
            <w:r>
              <w:t>6.00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重要时期专项护路任务次数（次）</w:t>
            </w:r>
          </w:p>
        </w:tc>
        <w:tc>
          <w:tcPr>
            <w:tcW w:w="2891" w:type="dxa"/>
            <w:vAlign w:val="center"/>
          </w:tcPr>
          <w:p>
            <w:pPr>
              <w:pStyle w:val="17"/>
            </w:pPr>
            <w:r>
              <w:t>重要时期专项护路任务次数（次）</w:t>
            </w:r>
          </w:p>
        </w:tc>
        <w:tc>
          <w:tcPr>
            <w:tcW w:w="1276" w:type="dxa"/>
            <w:vAlign w:val="center"/>
          </w:tcPr>
          <w:p>
            <w:pPr>
              <w:pStyle w:val="17"/>
            </w:pPr>
            <w:r>
              <w:t>≥2次</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矛盾纠纷调处率（%）</w:t>
            </w:r>
          </w:p>
        </w:tc>
        <w:tc>
          <w:tcPr>
            <w:tcW w:w="2891" w:type="dxa"/>
            <w:vAlign w:val="center"/>
          </w:tcPr>
          <w:p>
            <w:pPr>
              <w:pStyle w:val="17"/>
            </w:pPr>
            <w:r>
              <w:t>矛盾纠纷调处率（%）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≤8万元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突发事件发生率（%）</w:t>
            </w:r>
          </w:p>
        </w:tc>
        <w:tc>
          <w:tcPr>
            <w:tcW w:w="2891" w:type="dxa"/>
            <w:vAlign w:val="center"/>
          </w:tcPr>
          <w:p>
            <w:pPr>
              <w:pStyle w:val="17"/>
            </w:pPr>
            <w:r>
              <w:t>突发事件发生率（%）</w:t>
            </w:r>
          </w:p>
        </w:tc>
        <w:tc>
          <w:tcPr>
            <w:tcW w:w="1276" w:type="dxa"/>
            <w:vAlign w:val="center"/>
          </w:tcPr>
          <w:p>
            <w:pPr>
              <w:pStyle w:val="17"/>
            </w:pPr>
            <w:r>
              <w:t>≥5百分比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1"/>
      <w:r>
        <w:rPr>
          <w:rFonts w:ascii="方正仿宋_GBK" w:hAnsi="方正仿宋_GBK" w:eastAsia="方正仿宋_GBK" w:cs="方正仿宋_GBK"/>
          <w:color w:val="000000"/>
          <w:sz w:val="28"/>
        </w:rPr>
        <w:t>8.乡镇行政执法专项经费（含禁烧经费1万元）绩效目标表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13062323P00898310284B</w:t>
            </w:r>
          </w:p>
        </w:tc>
        <w:tc>
          <w:tcPr>
            <w:tcW w:w="1587" w:type="dxa"/>
            <w:vAlign w:val="center"/>
          </w:tcPr>
          <w:p>
            <w:pPr>
              <w:pStyle w:val="15"/>
            </w:pPr>
            <w:r>
              <w:t>项目名称</w:t>
            </w:r>
          </w:p>
        </w:tc>
        <w:tc>
          <w:tcPr>
            <w:tcW w:w="4422" w:type="dxa"/>
            <w:gridSpan w:val="3"/>
            <w:vAlign w:val="center"/>
          </w:tcPr>
          <w:p>
            <w:pPr>
              <w:pStyle w:val="17"/>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执法工作任务数</w:t>
            </w:r>
          </w:p>
        </w:tc>
        <w:tc>
          <w:tcPr>
            <w:tcW w:w="2891" w:type="dxa"/>
            <w:vAlign w:val="center"/>
          </w:tcPr>
          <w:p>
            <w:pPr>
              <w:pStyle w:val="17"/>
            </w:pPr>
            <w:r>
              <w:t>执法工作任务数</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执法任务完成率</w:t>
            </w:r>
          </w:p>
        </w:tc>
        <w:tc>
          <w:tcPr>
            <w:tcW w:w="2891" w:type="dxa"/>
            <w:vAlign w:val="center"/>
          </w:tcPr>
          <w:p>
            <w:pPr>
              <w:pStyle w:val="17"/>
            </w:pPr>
            <w:r>
              <w:t>执法任务完成率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完成执法任务的效率</w:t>
            </w:r>
          </w:p>
        </w:tc>
        <w:tc>
          <w:tcPr>
            <w:tcW w:w="2891" w:type="dxa"/>
            <w:vAlign w:val="center"/>
          </w:tcPr>
          <w:p>
            <w:pPr>
              <w:pStyle w:val="17"/>
            </w:pPr>
            <w:r>
              <w:t>完成执法任务的效率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预算范围内完成执法任务</w:t>
            </w:r>
          </w:p>
        </w:tc>
        <w:tc>
          <w:tcPr>
            <w:tcW w:w="2891" w:type="dxa"/>
            <w:vAlign w:val="center"/>
          </w:tcPr>
          <w:p>
            <w:pPr>
              <w:pStyle w:val="17"/>
            </w:pPr>
            <w:r>
              <w:t>预算范围内完成执法任务</w:t>
            </w:r>
          </w:p>
        </w:tc>
        <w:tc>
          <w:tcPr>
            <w:tcW w:w="1276" w:type="dxa"/>
            <w:vAlign w:val="center"/>
          </w:tcPr>
          <w:p>
            <w:pPr>
              <w:pStyle w:val="17"/>
            </w:pPr>
            <w:r>
              <w:t>≤5万元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自然资源保护效果</w:t>
            </w:r>
          </w:p>
        </w:tc>
        <w:tc>
          <w:tcPr>
            <w:tcW w:w="2891" w:type="dxa"/>
            <w:vAlign w:val="center"/>
          </w:tcPr>
          <w:p>
            <w:pPr>
              <w:pStyle w:val="17"/>
            </w:pPr>
            <w:r>
              <w:t>自然资源保护效果</w:t>
            </w:r>
          </w:p>
        </w:tc>
        <w:tc>
          <w:tcPr>
            <w:tcW w:w="1276" w:type="dxa"/>
            <w:vAlign w:val="center"/>
          </w:tcPr>
          <w:p>
            <w:pPr>
              <w:pStyle w:val="17"/>
            </w:pPr>
            <w:r>
              <w:t>良好</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3" w:name="_Toc_4_4_0000000012"/>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9.小型修缮经费绩效目标表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13062323P00739610022H</w:t>
            </w:r>
          </w:p>
        </w:tc>
        <w:tc>
          <w:tcPr>
            <w:tcW w:w="1587" w:type="dxa"/>
            <w:vAlign w:val="center"/>
          </w:tcPr>
          <w:p>
            <w:pPr>
              <w:pStyle w:val="15"/>
            </w:pPr>
            <w:r>
              <w:t>项目名称</w:t>
            </w:r>
          </w:p>
        </w:tc>
        <w:tc>
          <w:tcPr>
            <w:tcW w:w="4422" w:type="dxa"/>
            <w:gridSpan w:val="3"/>
            <w:vAlign w:val="center"/>
          </w:tcPr>
          <w:p>
            <w:pPr>
              <w:pStyle w:val="17"/>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3.61</w:t>
            </w:r>
          </w:p>
        </w:tc>
        <w:tc>
          <w:tcPr>
            <w:tcW w:w="1587" w:type="dxa"/>
            <w:vAlign w:val="center"/>
          </w:tcPr>
          <w:p>
            <w:pPr>
              <w:pStyle w:val="15"/>
            </w:pPr>
            <w:r>
              <w:t>其中：财政    资金</w:t>
            </w:r>
          </w:p>
        </w:tc>
        <w:tc>
          <w:tcPr>
            <w:tcW w:w="1304" w:type="dxa"/>
            <w:vAlign w:val="center"/>
          </w:tcPr>
          <w:p>
            <w:pPr>
              <w:pStyle w:val="17"/>
            </w:pPr>
            <w:r>
              <w:t>3.61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小型修缮经费用于保障乡政府</w:t>
            </w:r>
            <w:r>
              <w:rPr>
                <w:rFonts w:hint="eastAsia"/>
                <w:lang w:eastAsia="zh-CN"/>
              </w:rPr>
              <w:t>更好地为</w:t>
            </w:r>
            <w:r>
              <w:t>群众提供服务，对乡政府办公用房进行日常维护及维修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修缮项目验收合格率</w:t>
            </w:r>
          </w:p>
        </w:tc>
        <w:tc>
          <w:tcPr>
            <w:tcW w:w="2891" w:type="dxa"/>
            <w:vAlign w:val="center"/>
          </w:tcPr>
          <w:p>
            <w:pPr>
              <w:pStyle w:val="17"/>
            </w:pPr>
            <w:r>
              <w:t>通过验收的工程量占建设、改造、修缮总量的比率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修缮项目完成率</w:t>
            </w:r>
          </w:p>
        </w:tc>
        <w:tc>
          <w:tcPr>
            <w:tcW w:w="2891" w:type="dxa"/>
            <w:vAlign w:val="center"/>
          </w:tcPr>
          <w:p>
            <w:pPr>
              <w:pStyle w:val="17"/>
            </w:pPr>
            <w:r>
              <w:t>实际完成工程量占计划完成工程量的比率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≤3.61万元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办公设施的改善成效</w:t>
            </w:r>
          </w:p>
        </w:tc>
        <w:tc>
          <w:tcPr>
            <w:tcW w:w="2891" w:type="dxa"/>
            <w:vAlign w:val="center"/>
          </w:tcPr>
          <w:p>
            <w:pPr>
              <w:pStyle w:val="17"/>
            </w:pPr>
            <w:r>
              <w:t>反映修缮后办公设施改善情况</w:t>
            </w:r>
          </w:p>
        </w:tc>
        <w:tc>
          <w:tcPr>
            <w:tcW w:w="1276" w:type="dxa"/>
            <w:vAlign w:val="center"/>
          </w:tcPr>
          <w:p>
            <w:pPr>
              <w:pStyle w:val="17"/>
            </w:pPr>
            <w:r>
              <w:t>≥90百分比</w:t>
            </w:r>
          </w:p>
        </w:tc>
        <w:tc>
          <w:tcPr>
            <w:tcW w:w="1843" w:type="dxa"/>
            <w:vAlign w:val="center"/>
          </w:tcPr>
          <w:p>
            <w:pPr>
              <w:pStyle w:val="17"/>
            </w:pPr>
            <w:r>
              <w:t>依据工作方案</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w:t>
            </w:r>
            <w:r>
              <w:rPr>
                <w:lang w:eastAsia="zh-CN"/>
              </w:rPr>
              <w:t>001</w:t>
            </w:r>
            <w:r>
              <w:rPr>
                <w:rFonts w:hint="eastAsia"/>
                <w:lang w:eastAsia="zh-CN"/>
              </w:rPr>
              <w:t>涞水县三坡镇人民政府（本级）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pPr>
    </w:p>
    <w:p>
      <w:pPr>
        <w:ind w:firstLine="420"/>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ascii="宋体" w:hAnsi="宋体" w:eastAsia="宋体" w:cs="宋体"/>
          <w:color w:val="000000"/>
          <w:sz w:val="28"/>
          <w:szCs w:val="28"/>
          <w:lang w:val="en-US" w:eastAsia="zh-CN"/>
        </w:rPr>
        <w:t>78.39</w:t>
      </w:r>
      <w:r>
        <w:rPr>
          <w:rFonts w:eastAsia="方正仿宋_GBK"/>
          <w:color w:val="000000"/>
          <w:sz w:val="28"/>
        </w:rPr>
        <w:t>万元（详见下表）。</w:t>
      </w:r>
      <w:r>
        <w:rPr>
          <w:rFonts w:hint="eastAsia" w:eastAsia="方正仿宋_GBK"/>
          <w:color w:val="000000"/>
          <w:sz w:val="28"/>
          <w:lang w:val="en-US" w:eastAsia="zh-CN"/>
        </w:rPr>
        <w:t>本年度</w:t>
      </w:r>
      <w:r>
        <w:rPr>
          <w:rFonts w:hint="eastAsia" w:eastAsia="方正仿宋_GBK"/>
          <w:color w:val="000000"/>
          <w:sz w:val="28"/>
          <w:lang w:eastAsia="zh-CN"/>
        </w:rPr>
        <w:t>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w:t>
      </w:r>
      <w:r>
        <w:rPr>
          <w:rFonts w:hint="eastAsia" w:ascii="方正小标宋_GBK" w:hAnsi="方正小标宋_GBK" w:eastAsia="方正小标宋_GBK" w:cs="方正小标宋_GBK"/>
          <w:color w:val="000000"/>
          <w:sz w:val="36"/>
          <w:lang w:val="en-US" w:eastAsia="zh-CN"/>
        </w:rPr>
        <w:t>3</w:t>
      </w:r>
      <w:r>
        <w:rPr>
          <w:rFonts w:hint="eastAsia" w:ascii="方正小标宋_GBK" w:hAnsi="方正小标宋_GBK" w:eastAsia="方正小标宋_GBK" w:cs="方正小标宋_GBK"/>
          <w:color w:val="000000"/>
          <w:sz w:val="36"/>
          <w:lang w:eastAsia="zh-CN"/>
        </w:rPr>
        <w:t>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val="en-US" w:eastAsia="zh-CN"/>
              </w:rPr>
              <w:t>78.39</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eastAsia="宋体" w:cs="宋体"/>
                <w:color w:val="000000"/>
                <w:sz w:val="28"/>
                <w:szCs w:val="28"/>
                <w:lang w:val="en-US" w:eastAsia="zh-CN"/>
              </w:rPr>
              <w:t>25.79</w:t>
            </w:r>
          </w:p>
        </w:tc>
      </w:tr>
    </w:tbl>
    <w:p>
      <w:pPr>
        <w:spacing w:before="10" w:after="10"/>
        <w:ind w:firstLine="480" w:firstLineChars="150"/>
        <w:outlineLvl w:val="5"/>
        <w:rPr>
          <w:rFonts w:ascii="黑体" w:hAnsi="黑体" w:eastAsia="黑体" w:cs="黑体"/>
          <w:color w:val="000000"/>
          <w:sz w:val="32"/>
          <w:lang w:eastAsia="zh-CN"/>
        </w:rPr>
      </w:pP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rPr>
          <w:rFonts w:hint="eastAsia" w:eastAsia="方正仿宋_GBK"/>
          <w:color w:val="000000"/>
          <w:sz w:val="28"/>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firstLine="560"/>
        <w:rPr>
          <w:rFonts w:hint="eastAsia" w:eastAsia="方正仿宋_GBK"/>
          <w:color w:val="000000"/>
          <w:sz w:val="28"/>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r>
        <w:rPr>
          <w:rFonts w:hint="eastAsia" w:eastAsia="方正仿宋_GBK"/>
          <w:color w:val="000000"/>
          <w:sz w:val="28"/>
          <w:lang w:val="en-US" w:eastAsia="zh-CN"/>
        </w:rPr>
        <w:t>事项。</w:t>
      </w:r>
    </w:p>
    <w:p>
      <w:pPr>
        <w:jc w:val="center"/>
        <w:outlineLvl w:val="3"/>
        <w:rPr>
          <w:rFonts w:ascii="方正小标宋_GBK" w:hAnsi="方正小标宋_GBK" w:eastAsia="方正小标宋_GBK" w:cs="方正小标宋_GBK"/>
          <w:color w:val="000000"/>
          <w:sz w:val="44"/>
          <w:lang w:eastAsia="zh-CN"/>
        </w:rPr>
      </w:pPr>
      <w:bookmarkStart w:id="14" w:name="_Toc_4_4_0000000020"/>
    </w:p>
    <w:p>
      <w:pPr>
        <w:outlineLvl w:val="3"/>
        <w:rPr>
          <w:rFonts w:hint="eastAsia" w:ascii="方正小标宋_GBK" w:hAnsi="方正小标宋_GBK" w:eastAsia="方正小标宋_GBK" w:cs="方正小标宋_GBK"/>
          <w:color w:val="000000"/>
          <w:sz w:val="44"/>
          <w:lang w:eastAsia="zh-CN"/>
        </w:rPr>
      </w:pPr>
    </w:p>
    <w:bookmarkEnd w:id="14"/>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7" o:spt="202" type="#_x0000_t202" style="position:absolute;left:0pt;margin-top:0pt;height:10.35pt;width:4.5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13</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3.8pt;width:6.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64159"/>
    <w:rsid w:val="00114F33"/>
    <w:rsid w:val="00120163"/>
    <w:rsid w:val="00141152"/>
    <w:rsid w:val="0018061A"/>
    <w:rsid w:val="00182D82"/>
    <w:rsid w:val="001A2AA2"/>
    <w:rsid w:val="001B15F6"/>
    <w:rsid w:val="001C6F03"/>
    <w:rsid w:val="001E1F4C"/>
    <w:rsid w:val="001E5764"/>
    <w:rsid w:val="001E7761"/>
    <w:rsid w:val="00201266"/>
    <w:rsid w:val="002576DE"/>
    <w:rsid w:val="00361FC6"/>
    <w:rsid w:val="003701D4"/>
    <w:rsid w:val="00382414"/>
    <w:rsid w:val="0043682E"/>
    <w:rsid w:val="004429BD"/>
    <w:rsid w:val="0044758D"/>
    <w:rsid w:val="0048029C"/>
    <w:rsid w:val="00480AAE"/>
    <w:rsid w:val="004E545F"/>
    <w:rsid w:val="005160B5"/>
    <w:rsid w:val="00557C8E"/>
    <w:rsid w:val="0056582C"/>
    <w:rsid w:val="005C7741"/>
    <w:rsid w:val="00620891"/>
    <w:rsid w:val="00626715"/>
    <w:rsid w:val="006618C8"/>
    <w:rsid w:val="00664099"/>
    <w:rsid w:val="0068454C"/>
    <w:rsid w:val="00714A9B"/>
    <w:rsid w:val="007304F6"/>
    <w:rsid w:val="00731515"/>
    <w:rsid w:val="007601CA"/>
    <w:rsid w:val="00781D3A"/>
    <w:rsid w:val="00791CF2"/>
    <w:rsid w:val="008C6DAF"/>
    <w:rsid w:val="008D0F2A"/>
    <w:rsid w:val="008F1C73"/>
    <w:rsid w:val="008F52C2"/>
    <w:rsid w:val="009044DC"/>
    <w:rsid w:val="00932A85"/>
    <w:rsid w:val="00934186"/>
    <w:rsid w:val="009477C9"/>
    <w:rsid w:val="00953E15"/>
    <w:rsid w:val="00955B7A"/>
    <w:rsid w:val="0098765C"/>
    <w:rsid w:val="00A00CB6"/>
    <w:rsid w:val="00A77F65"/>
    <w:rsid w:val="00AA3553"/>
    <w:rsid w:val="00AC1402"/>
    <w:rsid w:val="00AF226C"/>
    <w:rsid w:val="00B10A12"/>
    <w:rsid w:val="00B12F0B"/>
    <w:rsid w:val="00B248F9"/>
    <w:rsid w:val="00B44359"/>
    <w:rsid w:val="00B52C69"/>
    <w:rsid w:val="00BB1FC7"/>
    <w:rsid w:val="00BC0518"/>
    <w:rsid w:val="00BD1DD9"/>
    <w:rsid w:val="00BF7BAE"/>
    <w:rsid w:val="00C559E9"/>
    <w:rsid w:val="00C83D45"/>
    <w:rsid w:val="00CB4BA8"/>
    <w:rsid w:val="00CC5F86"/>
    <w:rsid w:val="00D11C74"/>
    <w:rsid w:val="00D172D0"/>
    <w:rsid w:val="00D33AF9"/>
    <w:rsid w:val="00D75591"/>
    <w:rsid w:val="00D8036F"/>
    <w:rsid w:val="00DA3F97"/>
    <w:rsid w:val="00DD16F4"/>
    <w:rsid w:val="00E14C3F"/>
    <w:rsid w:val="00E831AA"/>
    <w:rsid w:val="00E92AAD"/>
    <w:rsid w:val="00EA5951"/>
    <w:rsid w:val="00EB7E7F"/>
    <w:rsid w:val="00EC4DAA"/>
    <w:rsid w:val="00F133F4"/>
    <w:rsid w:val="00F14A5B"/>
    <w:rsid w:val="00F1646A"/>
    <w:rsid w:val="00F22CA8"/>
    <w:rsid w:val="00F23600"/>
    <w:rsid w:val="00F31752"/>
    <w:rsid w:val="00F32240"/>
    <w:rsid w:val="00F6455A"/>
    <w:rsid w:val="00F71F7B"/>
    <w:rsid w:val="00F826E0"/>
    <w:rsid w:val="00F9550C"/>
    <w:rsid w:val="00FB7ED6"/>
    <w:rsid w:val="00FE46E7"/>
    <w:rsid w:val="052B4646"/>
    <w:rsid w:val="09FA4786"/>
    <w:rsid w:val="0F077CFD"/>
    <w:rsid w:val="12A020B7"/>
    <w:rsid w:val="14E55E8D"/>
    <w:rsid w:val="158F5031"/>
    <w:rsid w:val="1A486B6D"/>
    <w:rsid w:val="22090B6C"/>
    <w:rsid w:val="25B80281"/>
    <w:rsid w:val="2B0B2850"/>
    <w:rsid w:val="308570DA"/>
    <w:rsid w:val="32434407"/>
    <w:rsid w:val="3321204C"/>
    <w:rsid w:val="391B70EA"/>
    <w:rsid w:val="3A4B0C5C"/>
    <w:rsid w:val="3B8F458E"/>
    <w:rsid w:val="3F033BBB"/>
    <w:rsid w:val="43BA3A3C"/>
    <w:rsid w:val="48390A7E"/>
    <w:rsid w:val="52EA30A1"/>
    <w:rsid w:val="53C5766A"/>
    <w:rsid w:val="55DF617A"/>
    <w:rsid w:val="562A7E7A"/>
    <w:rsid w:val="5AD36BD0"/>
    <w:rsid w:val="6E3E303B"/>
    <w:rsid w:val="734D7008"/>
    <w:rsid w:val="73E6120B"/>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字符"/>
    <w:basedOn w:val="10"/>
    <w:link w:val="4"/>
    <w:autoRedefine/>
    <w:qFormat/>
    <w:locked/>
    <w:uiPriority w:val="99"/>
    <w:rPr>
      <w:rFonts w:eastAsia="Times New Roman" w:cs="Times New Roman"/>
      <w:sz w:val="18"/>
      <w:szCs w:val="18"/>
      <w:lang w:eastAsia="uk-UA"/>
    </w:rPr>
  </w:style>
  <w:style w:type="character" w:customStyle="1" w:styleId="35">
    <w:name w:val="页脚 字符"/>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C39F1-0FA2-4F42-AD5D-21B531BC4B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11285</Words>
  <Characters>13446</Characters>
  <Lines>118</Lines>
  <Paragraphs>33</Paragraphs>
  <TotalTime>3</TotalTime>
  <ScaleCrop>false</ScaleCrop>
  <LinksUpToDate>false</LinksUpToDate>
  <CharactersWithSpaces>13884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2022-06-16T07:09:00Z</dcterms:created>
  <dc:creator>Administrator</dc:creator>
  <cp:lastModifiedBy>八爪小鱼</cp:lastModifiedBy>
  <dcterms:modified xsi:type="dcterms:W3CDTF">2024-06-05T03:20:22Z</dcterms:modified>
  <dc:title>定兴县财政局所属单位预算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46ED276FE4EF4CE3A3626E9D681ADC56</vt:lpwstr>
  </property>
</Properties>
</file>