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i w:val="0"/>
          <w:caps w:val="0"/>
          <w:color w:val="auto"/>
          <w:spacing w:val="0"/>
          <w:sz w:val="44"/>
          <w:szCs w:val="44"/>
          <w:shd w:val="clear" w:color="auto" w:fill="FFFFFF"/>
        </w:rPr>
        <w:t>河北涞水经济开发区管</w:t>
      </w: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理</w:t>
      </w:r>
      <w:r>
        <w:rPr>
          <w:rFonts w:hint="eastAsia" w:ascii="方正小标宋简体" w:hAnsi="方正小标宋简体" w:eastAsia="方正小标宋简体" w:cs="方正小标宋简体"/>
          <w:b w:val="0"/>
          <w:i w:val="0"/>
          <w:caps w:val="0"/>
          <w:color w:val="auto"/>
          <w:spacing w:val="0"/>
          <w:sz w:val="44"/>
          <w:szCs w:val="44"/>
          <w:shd w:val="clear" w:color="auto" w:fill="FFFFFF"/>
        </w:rPr>
        <w:t>委</w:t>
      </w: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员</w:t>
      </w:r>
      <w:r>
        <w:rPr>
          <w:rFonts w:hint="eastAsia" w:ascii="方正小标宋简体" w:hAnsi="方正小标宋简体" w:eastAsia="方正小标宋简体" w:cs="方正小标宋简体"/>
          <w:b w:val="0"/>
          <w:i w:val="0"/>
          <w:caps w:val="0"/>
          <w:color w:val="auto"/>
          <w:spacing w:val="0"/>
          <w:sz w:val="44"/>
          <w:szCs w:val="44"/>
          <w:shd w:val="clear" w:color="auto" w:fill="FFFFFF"/>
        </w:rPr>
        <w:t>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2</w:t>
      </w:r>
      <w:r>
        <w:rPr>
          <w:rFonts w:hint="eastAsia" w:ascii="方正小标宋简体" w:hAnsi="方正小标宋简体" w:eastAsia="方正小标宋简体" w:cs="方正小标宋简体"/>
          <w:b w:val="0"/>
          <w:i w:val="0"/>
          <w:caps w:val="0"/>
          <w:color w:val="auto"/>
          <w:spacing w:val="0"/>
          <w:sz w:val="44"/>
          <w:szCs w:val="44"/>
          <w:shd w:val="clear" w:color="auto" w:fill="FFFFFF"/>
        </w:rPr>
        <w:t>02</w:t>
      </w: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3</w:t>
      </w:r>
      <w:r>
        <w:rPr>
          <w:rFonts w:hint="eastAsia" w:ascii="方正小标宋简体" w:hAnsi="方正小标宋简体" w:eastAsia="方正小标宋简体" w:cs="方正小标宋简体"/>
          <w:b w:val="0"/>
          <w:i w:val="0"/>
          <w:caps w:val="0"/>
          <w:color w:val="auto"/>
          <w:spacing w:val="0"/>
          <w:sz w:val="44"/>
          <w:szCs w:val="44"/>
          <w:shd w:val="clear" w:color="auto" w:fill="FFFFFF"/>
        </w:rPr>
        <w:t>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i w:val="0"/>
          <w:iCs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2023年，河北涞水经济开发区管理委员会坚持以习近平新时代中国特色社会主义思想为指导，全面贯彻落实党的二十大精神，全面落实《中华人民共和国政府信息公开条例》，扎实做好政府信息公开工作。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r>
        <w:rPr>
          <w:rFonts w:hint="eastAsia" w:ascii="楷体_GB2312" w:hAnsi="楷体_GB2312" w:eastAsia="楷体_GB2312" w:cs="楷体_GB2312"/>
          <w:b/>
          <w:bCs/>
          <w:i w:val="0"/>
          <w:iCs w:val="0"/>
          <w:caps w:val="0"/>
          <w:color w:val="333333"/>
          <w:spacing w:val="0"/>
          <w:sz w:val="32"/>
          <w:szCs w:val="32"/>
          <w:shd w:val="clear" w:fill="FFFFFF"/>
          <w:lang w:val="en-US" w:eastAsia="zh-CN"/>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切实保障群众的知情权、参与权和监督权。2023年，我单位共在河北省类、保定市类新闻报纸、涞水县人民政府网站、微信公众号发布信息592篇。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r>
        <w:rPr>
          <w:rFonts w:hint="eastAsia" w:ascii="楷体_GB2312" w:hAnsi="楷体_GB2312" w:eastAsia="楷体_GB2312" w:cs="楷体_GB2312"/>
          <w:b/>
          <w:bCs/>
          <w:i w:val="0"/>
          <w:iCs w:val="0"/>
          <w:caps w:val="0"/>
          <w:color w:val="333333"/>
          <w:spacing w:val="0"/>
          <w:sz w:val="32"/>
          <w:szCs w:val="32"/>
          <w:shd w:val="clear" w:fill="FFFFFF"/>
          <w:lang w:val="en-US" w:eastAsia="zh-CN"/>
        </w:rPr>
        <w:t>（二）依申请公开情况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2023年，我单位收到政府信息公开申请1件，</w:t>
      </w:r>
      <w:r>
        <w:rPr>
          <w:rFonts w:hint="eastAsia" w:ascii="仿宋_GB2312" w:hAnsi="仿宋_GB2312" w:eastAsia="仿宋_GB2312" w:cs="仿宋_GB2312"/>
          <w:i w:val="0"/>
          <w:iCs w:val="0"/>
          <w:caps w:val="0"/>
          <w:color w:val="333333"/>
          <w:spacing w:val="0"/>
          <w:sz w:val="32"/>
          <w:szCs w:val="32"/>
        </w:rPr>
        <w:t>在规定时限内答复</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无信息公开类行政复议及诉讼案件。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r>
        <w:rPr>
          <w:rFonts w:hint="eastAsia" w:ascii="楷体_GB2312" w:hAnsi="楷体_GB2312" w:eastAsia="楷体_GB2312" w:cs="楷体_GB2312"/>
          <w:b/>
          <w:bCs/>
          <w:i w:val="0"/>
          <w:iCs w:val="0"/>
          <w:caps w:val="0"/>
          <w:color w:val="333333"/>
          <w:spacing w:val="0"/>
          <w:sz w:val="32"/>
          <w:szCs w:val="32"/>
          <w:shd w:val="clear" w:fill="FFFFFF"/>
          <w:lang w:val="en-US" w:eastAsia="zh-CN"/>
        </w:rPr>
        <w:t>（三）政府信息管理情况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一是规范信息发布，定期对自媒体公众号内容进行检查，及时整改信息发布不规范的情况。二是严格落实网络意识形态责任制，按照“先审核、后公开”原则，严格执行政府信息公开审核和政府信息保密审查的制度规定，认真落实发布审核制度，确保上传的信息准确、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r>
        <w:rPr>
          <w:rFonts w:hint="eastAsia" w:ascii="楷体_GB2312" w:hAnsi="楷体_GB2312" w:eastAsia="楷体_GB2312" w:cs="楷体_GB2312"/>
          <w:b/>
          <w:bCs/>
          <w:i w:val="0"/>
          <w:iCs w:val="0"/>
          <w:caps w:val="0"/>
          <w:color w:val="333333"/>
          <w:spacing w:val="0"/>
          <w:sz w:val="32"/>
          <w:szCs w:val="32"/>
          <w:shd w:val="clear" w:fill="FFFFFF"/>
          <w:lang w:val="en-US" w:eastAsia="zh-CN"/>
        </w:rPr>
        <w:t>（四）平台建设情况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建立健全政府信息公开工作制度，严格规范公开内容，按要求定期更新政府信息，发现问题立行立改。规范政务公开内容和形式，避免出现错字、漏字、多字、病句等错误。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32"/>
          <w:szCs w:val="32"/>
          <w:shd w:val="clear" w:fill="FFFFFF"/>
          <w:lang w:val="en-US" w:eastAsia="zh-CN"/>
        </w:rPr>
      </w:pPr>
      <w:r>
        <w:rPr>
          <w:rFonts w:hint="eastAsia" w:ascii="楷体_GB2312" w:hAnsi="楷体_GB2312" w:eastAsia="楷体_GB2312" w:cs="楷体_GB2312"/>
          <w:b/>
          <w:bCs/>
          <w:i w:val="0"/>
          <w:iCs w:val="0"/>
          <w:caps w:val="0"/>
          <w:color w:val="333333"/>
          <w:spacing w:val="0"/>
          <w:sz w:val="32"/>
          <w:szCs w:val="32"/>
          <w:shd w:val="clear" w:fill="FFFFFF"/>
          <w:lang w:val="en-US" w:eastAsia="zh-CN"/>
        </w:rPr>
        <w:t>（五）监督保障情况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开发区认真贯彻落实政府信息公开条例，落实信息公开相关工作规定，做好公开信息审查、网络维护、实时更新。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二、主动公开政府信息情况</w:t>
      </w:r>
    </w:p>
    <w:tbl>
      <w:tblPr>
        <w:tblStyle w:val="6"/>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w:t>
            </w:r>
            <w:r>
              <w:rPr>
                <w:rFonts w:hint="eastAsia" w:ascii="宋体" w:hAnsi="宋体" w:eastAsia="宋体" w:cs="宋体"/>
                <w:i w:val="0"/>
                <w:iCs w:val="0"/>
                <w:caps w:val="0"/>
                <w:color w:val="333333"/>
                <w:spacing w:val="0"/>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现行有效件</w:t>
            </w:r>
            <w:r>
              <w:rPr>
                <w:rFonts w:hint="eastAsia" w:ascii="宋体" w:hAnsi="宋体" w:eastAsia="宋体" w:cs="宋体"/>
                <w:i w:val="0"/>
                <w:iCs w:val="0"/>
                <w:caps w:val="0"/>
                <w:color w:val="333333"/>
                <w:spacing w:val="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i w:val="0"/>
                <w:iCs w:val="0"/>
                <w:caps w:val="0"/>
                <w:color w:val="000000"/>
                <w:spacing w:val="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i w:val="0"/>
                <w:iCs w:val="0"/>
                <w:caps w:val="0"/>
                <w:color w:val="000000"/>
                <w:spacing w:val="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i w:val="0"/>
                <w:iCs w:val="0"/>
                <w:caps w:val="0"/>
                <w:color w:val="000000"/>
                <w:spacing w:val="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i w:val="0"/>
                <w:iCs w:val="0"/>
                <w:caps w:val="0"/>
                <w:color w:val="000000"/>
                <w:spacing w:val="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i w:val="0"/>
                <w:iCs w:val="0"/>
                <w:caps w:val="0"/>
                <w:color w:val="000000"/>
                <w:spacing w:val="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i w:val="0"/>
                <w:iCs w:val="0"/>
                <w:caps w:val="0"/>
                <w:color w:val="000000"/>
                <w:spacing w:val="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i w:val="0"/>
                <w:iCs w:val="0"/>
                <w:caps w:val="0"/>
                <w:color w:val="000000"/>
                <w:spacing w:val="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i w:val="0"/>
                <w:iCs w:val="0"/>
                <w:caps w:val="0"/>
                <w:color w:val="000000"/>
                <w:spacing w:val="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i w:val="0"/>
                <w:iCs w:val="0"/>
                <w:caps w:val="0"/>
                <w:color w:val="000000"/>
                <w:spacing w:val="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i w:val="0"/>
                <w:iCs w:val="0"/>
                <w:caps w:val="0"/>
                <w:color w:val="000000"/>
                <w:spacing w:val="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i w:val="0"/>
                <w:iCs w:val="0"/>
                <w:caps w:val="0"/>
                <w:color w:val="000000"/>
                <w:spacing w:val="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i w:val="0"/>
                <w:iCs w:val="0"/>
                <w:caps w:val="0"/>
                <w:color w:val="000000"/>
                <w:spacing w:val="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rPr>
      </w:pPr>
      <w:r>
        <w:rPr>
          <w:rFonts w:hint="eastAsia" w:ascii="黑体" w:hAnsi="黑体" w:eastAsia="黑体" w:cs="黑体"/>
          <w:b w:val="0"/>
          <w:bCs w:val="0"/>
          <w:i w:val="0"/>
          <w:iCs w:val="0"/>
          <w:caps w:val="0"/>
          <w:color w:val="auto"/>
          <w:spacing w:val="0"/>
          <w:sz w:val="32"/>
          <w:szCs w:val="32"/>
          <w:shd w:val="clear" w:fill="FFFFFF"/>
        </w:rPr>
        <w:t>三、收到和处理政府信息公开申请情况</w:t>
      </w:r>
    </w:p>
    <w:tbl>
      <w:tblPr>
        <w:tblStyle w:val="6"/>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688" w:type="dxa"/>
            <w:vMerge w:val="restar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688" w:type="dxa"/>
            <w:vMerge w:val="continue"/>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企业</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31"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2</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31"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restart"/>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（一）予以公开</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1</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4163"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（三）不予公开</w:t>
            </w: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1.属于国家秘密</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3.危及“三安全一稳定”</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1</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7.属于行政执法案卷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8.属于行政查询事项</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（四）无法提供</w:t>
            </w: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（五）不予处理</w:t>
            </w: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2.重复申请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（六）其他处理</w:t>
            </w: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322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3.其他</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76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24"/>
                <w:szCs w:val="24"/>
              </w:rPr>
            </w:pPr>
          </w:p>
        </w:tc>
        <w:tc>
          <w:tcPr>
            <w:tcW w:w="4163"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（七）总计</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2</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31"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c>
          <w:tcPr>
            <w:tcW w:w="68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结果维持</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2" w:type="dxa"/>
            <w:vMerge w:val="restart"/>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c>
          <w:tcPr>
            <w:tcW w:w="3213" w:type="dxa"/>
            <w:gridSpan w:val="5"/>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未经复议直接起诉</w:t>
            </w:r>
          </w:p>
        </w:tc>
        <w:tc>
          <w:tcPr>
            <w:tcW w:w="3215" w:type="dxa"/>
            <w:gridSpan w:val="5"/>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tc>
        <w:tc>
          <w:tcPr>
            <w:tcW w:w="642" w:type="dxa"/>
            <w:vMerge w:val="continue"/>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tc>
        <w:tc>
          <w:tcPr>
            <w:tcW w:w="642"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维持</w:t>
            </w:r>
          </w:p>
        </w:tc>
        <w:tc>
          <w:tcPr>
            <w:tcW w:w="642"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3" w:type="dxa"/>
            <w:tcBorders>
              <w:top w:val="single" w:color="auto" w:sz="8"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w:t>
            </w:r>
          </w:p>
        </w:tc>
        <w:tc>
          <w:tcPr>
            <w:tcW w:w="643"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为进一步做好政府信息公开工作，我单位将继续认真贯彻《中华人民共和国</w:t>
      </w:r>
      <w:bookmarkStart w:id="0" w:name="_GoBack"/>
      <w:bookmarkEnd w:id="0"/>
      <w:r>
        <w:rPr>
          <w:rFonts w:hint="eastAsia" w:ascii="仿宋_GB2312" w:hAnsi="仿宋_GB2312" w:eastAsia="仿宋_GB2312" w:cs="仿宋_GB2312"/>
          <w:color w:val="auto"/>
          <w:kern w:val="0"/>
          <w:sz w:val="32"/>
          <w:szCs w:val="32"/>
          <w:lang w:val="en-US" w:eastAsia="zh-CN" w:bidi="ar-SA"/>
        </w:rPr>
        <w:t>政府信息公开条例》的有关规定，严格落实政府信息公开各项规章制度，进一步规范工作流程、完善信息公开内容，不断健全政策解读机制，加强对本部门制定的政策文件及上级有关政策性信息的解读、发布，进一步加大信息发布数量、提高信息质量，提高信息的知晓率，强化监督检查，做到及时准确公开政府信息，更好地服务于全县经济社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认真贯彻执行国务院办公厅《政府信息公开信息处理费管理办法》和《关于政府信息公开处理费管理有关事项的通知》。</w:t>
      </w:r>
      <w:r>
        <w:rPr>
          <w:rFonts w:hint="eastAsia" w:ascii="仿宋_GB2312" w:hAnsi="仿宋_GB2312" w:eastAsia="仿宋_GB2312" w:cs="仿宋_GB2312"/>
          <w:i w:val="0"/>
          <w:iCs w:val="0"/>
          <w:caps w:val="0"/>
          <w:color w:val="333333"/>
          <w:spacing w:val="0"/>
          <w:sz w:val="32"/>
          <w:szCs w:val="32"/>
          <w:shd w:val="clear" w:fill="FFFFFF"/>
          <w:lang w:val="en-US" w:eastAsia="zh-CN"/>
        </w:rPr>
        <w:t>2023年我单位未收取信息处理费。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333333"/>
          <w:spacing w:val="0"/>
          <w:sz w:val="32"/>
          <w:szCs w:val="32"/>
          <w:shd w:val="clear" w:fill="FFFFFF"/>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605F720F"/>
    <w:rsid w:val="0E4C7B79"/>
    <w:rsid w:val="17CD3B9F"/>
    <w:rsid w:val="19B525C4"/>
    <w:rsid w:val="1C5E2DCE"/>
    <w:rsid w:val="1F1F7E7F"/>
    <w:rsid w:val="22B1368C"/>
    <w:rsid w:val="24BE6D68"/>
    <w:rsid w:val="274D2FC9"/>
    <w:rsid w:val="2D62554C"/>
    <w:rsid w:val="30C535F5"/>
    <w:rsid w:val="38057AB7"/>
    <w:rsid w:val="3BE35990"/>
    <w:rsid w:val="411E345A"/>
    <w:rsid w:val="4A694412"/>
    <w:rsid w:val="4C9C18DA"/>
    <w:rsid w:val="4FDA0220"/>
    <w:rsid w:val="518B234A"/>
    <w:rsid w:val="58A9755A"/>
    <w:rsid w:val="605F720F"/>
    <w:rsid w:val="6AC81AC2"/>
    <w:rsid w:val="78F14C94"/>
    <w:rsid w:val="79111AD9"/>
    <w:rsid w:val="7D19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1686</Words>
  <Characters>1722</Characters>
  <Lines>0</Lines>
  <Paragraphs>0</Paragraphs>
  <TotalTime>71</TotalTime>
  <ScaleCrop>false</ScaleCrop>
  <LinksUpToDate>false</LinksUpToDate>
  <CharactersWithSpaces>1722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2024-01-15T08:58:00Z</dcterms:created>
  <dc:creator>lenovoi</dc:creator>
  <cp:lastModifiedBy>八爪小鱼</cp:lastModifiedBy>
  <cp:lastPrinted>2024-01-23T07:59:00Z</cp:lastPrinted>
  <dcterms:modified xsi:type="dcterms:W3CDTF">2024-06-05T07:49:57Z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2AE9E83135C34B4E9B65BED2811E76B2_13</vt:lpwstr>
  </property>
</Properties>
</file>