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lang w:eastAsia="zh-CN"/>
        </w:rPr>
      </w:pPr>
      <w:r>
        <w:rPr>
          <w:rFonts w:hint="eastAsia" w:ascii="黑体" w:hAnsi="黑体" w:eastAsia="黑体" w:cs="黑体"/>
          <w:b/>
          <w:color w:val="000000"/>
          <w:sz w:val="44"/>
          <w:lang w:eastAsia="zh-CN"/>
        </w:rPr>
        <w:t>2024</w:t>
      </w:r>
      <w:r>
        <w:rPr>
          <w:rFonts w:ascii="黑体" w:hAnsi="黑体" w:eastAsia="黑体" w:cs="黑体"/>
          <w:b/>
          <w:color w:val="000000"/>
          <w:sz w:val="44"/>
        </w:rPr>
        <w:t>年</w:t>
      </w:r>
      <w:r>
        <w:rPr>
          <w:rFonts w:hint="eastAsia" w:ascii="黑体" w:hAnsi="黑体" w:eastAsia="黑体" w:cs="黑体"/>
          <w:b/>
          <w:color w:val="000000"/>
          <w:sz w:val="44"/>
          <w:lang w:eastAsia="zh-CN"/>
        </w:rPr>
        <w:t>中国共产党涞水县委员会统战部</w:t>
      </w:r>
    </w:p>
    <w:p>
      <w:pPr>
        <w:jc w:val="center"/>
        <w:outlineLvl w:val="0"/>
      </w:pP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11</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7</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eastAsia="zh-CN"/>
        </w:rPr>
        <w:t>7</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r>
        <w:rPr>
          <w:rFonts w:hint="eastAsia"/>
          <w:lang w:eastAsia="zh-CN"/>
        </w:rPr>
        <w:t>7</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eastAsia="方正小标宋_GBK" w:cs="方正小标宋_GBK"/>
          <w:color w:val="000000"/>
          <w:sz w:val="36"/>
          <w:lang w:eastAsia="zh-CN"/>
        </w:rPr>
      </w:pPr>
    </w:p>
    <w:p>
      <w:pPr>
        <w:outlineLvl w:val="1"/>
        <w:rPr>
          <w:rFonts w:ascii="方正小标宋_GBK" w:hAnsi="方正小标宋_GBK" w:eastAsia="方正小标宋_GBK" w:cs="方正小标宋_GBK"/>
          <w:color w:val="000000"/>
          <w:sz w:val="36"/>
          <w:lang w:eastAsia="zh-CN"/>
        </w:r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rPr>
          <w:highlight w:val="none"/>
        </w:rPr>
      </w:pPr>
      <w:bookmarkStart w:id="0" w:name="_Toc_2_2_0000000002"/>
      <w:r>
        <w:rPr>
          <w:rFonts w:hint="eastAsia" w:ascii="方正小标宋_GBK" w:hAnsi="方正小标宋_GBK" w:eastAsia="方正小标宋_GBK" w:cs="方正小标宋_GBK"/>
          <w:color w:val="000000"/>
          <w:sz w:val="36"/>
          <w:highlight w:val="none"/>
          <w:lang w:val="en-US" w:eastAsia="zh-CN"/>
        </w:rPr>
        <w:t>财政拨款收支</w:t>
      </w:r>
      <w:r>
        <w:rPr>
          <w:rFonts w:ascii="方正小标宋_GBK" w:hAnsi="方正小标宋_GBK" w:eastAsia="方正小标宋_GBK" w:cs="方正小标宋_GBK"/>
          <w:color w:val="000000"/>
          <w:sz w:val="36"/>
          <w:highlight w:val="none"/>
        </w:rPr>
        <w:t>总表</w:t>
      </w:r>
    </w:p>
    <w:tbl>
      <w:tblPr>
        <w:tblStyle w:val="8"/>
        <w:tblW w:w="156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15"/>
        <w:gridCol w:w="3168"/>
        <w:gridCol w:w="5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1393" w:type="dxa"/>
          <w:trHeight w:val="369" w:hRule="atLeast"/>
          <w:tblHeader/>
          <w:jc w:val="center"/>
        </w:trPr>
        <w:tc>
          <w:tcPr>
            <w:tcW w:w="5415" w:type="dxa"/>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w:t>
            </w:r>
            <w:r>
              <w:rPr>
                <w:rFonts w:hint="eastAsia" w:ascii="宋体" w:hAnsi="宋体" w:eastAsia="宋体" w:cs="宋体"/>
                <w:color w:val="000000"/>
                <w:sz w:val="18"/>
                <w:szCs w:val="18"/>
                <w:lang w:eastAsia="zh-CN"/>
              </w:rPr>
              <w:t>213中国共产党涞水县委员会统战部</w:t>
            </w:r>
          </w:p>
        </w:tc>
        <w:tc>
          <w:tcPr>
            <w:tcW w:w="3168"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2024</w:t>
            </w:r>
          </w:p>
        </w:tc>
        <w:tc>
          <w:tcPr>
            <w:tcW w:w="5686" w:type="dxa"/>
            <w:tcBorders>
              <w:top w:val="single" w:color="FFFFFF" w:sz="6" w:space="0"/>
              <w:left w:val="single" w:color="FFFFFF" w:sz="6" w:space="0"/>
              <w:right w:val="single" w:color="FFFFFF" w:sz="6" w:space="0"/>
            </w:tcBorders>
            <w:vAlign w:val="center"/>
          </w:tcPr>
          <w:p>
            <w:pPr>
              <w:pStyle w:val="11"/>
            </w:pPr>
            <w:r>
              <w:t>单位：万元</w:t>
            </w:r>
          </w:p>
        </w:tc>
      </w:tr>
    </w:tbl>
    <w:tbl>
      <w:tblPr>
        <w:tblW w:w="15564"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10"/>
        <w:gridCol w:w="3030"/>
        <w:gridCol w:w="780"/>
        <w:gridCol w:w="3770"/>
        <w:gridCol w:w="780"/>
        <w:gridCol w:w="2530"/>
        <w:gridCol w:w="1973"/>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150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预算单位编码及名称：[全部]全部</w:t>
            </w:r>
          </w:p>
        </w:tc>
        <w:tc>
          <w:tcPr>
            <w:tcW w:w="1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预算年度：2024</w:t>
            </w:r>
          </w:p>
        </w:tc>
        <w:tc>
          <w:tcPr>
            <w:tcW w:w="20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序号</w:t>
            </w:r>
          </w:p>
        </w:tc>
        <w:tc>
          <w:tcPr>
            <w:tcW w:w="38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收入</w:t>
            </w:r>
          </w:p>
        </w:tc>
        <w:tc>
          <w:tcPr>
            <w:tcW w:w="1114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6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0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项目</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w:t>
            </w:r>
          </w:p>
        </w:tc>
        <w:tc>
          <w:tcPr>
            <w:tcW w:w="3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项目</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合计</w:t>
            </w:r>
          </w:p>
        </w:tc>
        <w:tc>
          <w:tcPr>
            <w:tcW w:w="2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20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栏次</w:t>
            </w:r>
          </w:p>
        </w:tc>
        <w:tc>
          <w:tcPr>
            <w:tcW w:w="30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2</w:t>
            </w:r>
          </w:p>
        </w:tc>
        <w:tc>
          <w:tcPr>
            <w:tcW w:w="3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4</w:t>
            </w:r>
          </w:p>
        </w:tc>
        <w:tc>
          <w:tcPr>
            <w:tcW w:w="2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5</w:t>
            </w:r>
          </w:p>
        </w:tc>
        <w:tc>
          <w:tcPr>
            <w:tcW w:w="1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6</w:t>
            </w:r>
          </w:p>
        </w:tc>
        <w:tc>
          <w:tcPr>
            <w:tcW w:w="20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一、一般公共预算拨款</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290.17</w:t>
            </w: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一、一般公共服务支出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263.98</w:t>
            </w: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263.98</w:t>
            </w: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二、政府性基金预算拨款</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二、外交支出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三、国有资本经营预算拨款</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三、国防支出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四、公共安全支出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五、教育支出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六、科学技术支出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七、文化旅游体育与传媒支出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八、社会保障和就业支出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九、社会保险基金支出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十、卫生健康支出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十一、节能环保支出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十二、城乡社区支出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十三、农林水支出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十四、交通运输支出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十五、资源勘探工业信息等支出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十六、商业服务业等支出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十七、金融支出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十八、援助其他地区支出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十九、自然资源海洋气象等支出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二十、住房保障支出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二十一、粮油物资储备支出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二十二、国有资本经营预算支出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23</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二十三、灾害防治及应急管理支出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二十四、预备费</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二十五、其他支出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26</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二十六、转移性支出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27</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二十七、债务还本支出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二十八、债务付息支出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二十九、债务发行费用支出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三十、抗疫特别国债安排的支出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31</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三十一、人行科目</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本年收入合计</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290.17</w:t>
            </w: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本年支出合计</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292.07</w:t>
            </w: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292.07</w:t>
            </w: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33</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年初财政拨款结转和结余</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1.90</w:t>
            </w: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年末财政拨款结转和结余</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34</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一、一般公共预算拨款</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1.90</w:t>
            </w: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35</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二、政府性基金预算拨款</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36</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三、国有资本经营预算拨款</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37</w:t>
            </w:r>
          </w:p>
        </w:tc>
        <w:tc>
          <w:tcPr>
            <w:tcW w:w="30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收入总计</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292.07</w:t>
            </w:r>
          </w:p>
        </w:tc>
        <w:tc>
          <w:tcPr>
            <w:tcW w:w="3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支出总计</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292.07</w:t>
            </w:r>
          </w:p>
        </w:tc>
        <w:tc>
          <w:tcPr>
            <w:tcW w:w="253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292.07</w:t>
            </w:r>
          </w:p>
        </w:tc>
        <w:tc>
          <w:tcPr>
            <w:tcW w:w="19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091"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bl>
    <w:p>
      <w:pPr>
        <w:jc w:val="center"/>
        <w:outlineLvl w:val="1"/>
        <w:rPr>
          <w:rFonts w:ascii="方正小标宋_GBK" w:hAnsi="方正小标宋_GBK" w:eastAsia="方正小标宋_GBK" w:cs="方正小标宋_GBK"/>
          <w:color w:val="000000"/>
          <w:lang w:eastAsia="zh-CN"/>
        </w:rPr>
      </w:pPr>
    </w:p>
    <w:p>
      <w:pPr>
        <w:jc w:val="center"/>
        <w:outlineLvl w:val="1"/>
        <w:rPr>
          <w:rFonts w:ascii="方正小标宋_GBK" w:hAnsi="方正小标宋_GBK" w:eastAsia="方正小标宋_GBK" w:cs="方正小标宋_GBK"/>
          <w:color w:val="000000"/>
          <w:lang w:eastAsia="zh-CN"/>
        </w:rPr>
      </w:pPr>
    </w:p>
    <w:p>
      <w:pPr>
        <w:jc w:val="center"/>
        <w:outlineLvl w:val="1"/>
        <w:rPr>
          <w:rFonts w:ascii="方正小标宋_GBK" w:hAnsi="方正小标宋_GBK" w:eastAsia="方正小标宋_GBK" w:cs="方正小标宋_GBK"/>
          <w:color w:val="000000"/>
          <w:lang w:eastAsia="zh-CN"/>
        </w:rPr>
      </w:pPr>
    </w:p>
    <w:p>
      <w:pPr>
        <w:jc w:val="center"/>
        <w:outlineLvl w:val="1"/>
        <w:rPr>
          <w:rFonts w:ascii="方正小标宋_GBK" w:hAnsi="方正小标宋_GBK" w:eastAsia="方正小标宋_GBK" w:cs="方正小标宋_GBK"/>
          <w:color w:val="000000"/>
          <w:lang w:eastAsia="zh-CN"/>
        </w:rPr>
      </w:pPr>
    </w:p>
    <w:p>
      <w:pPr>
        <w:jc w:val="center"/>
        <w:outlineLvl w:val="1"/>
        <w:rPr>
          <w:rFonts w:ascii="方正小标宋_GBK" w:hAnsi="方正小标宋_GBK" w:eastAsia="方正小标宋_GBK" w:cs="方正小标宋_GBK"/>
          <w:color w:val="000000"/>
          <w:lang w:eastAsia="zh-CN"/>
        </w:rPr>
      </w:pPr>
    </w:p>
    <w:p>
      <w:pPr>
        <w:jc w:val="center"/>
        <w:outlineLvl w:val="1"/>
        <w:rPr>
          <w:rFonts w:ascii="方正小标宋_GBK" w:hAnsi="方正小标宋_GBK" w:eastAsia="方正小标宋_GBK" w:cs="方正小标宋_GBK"/>
          <w:color w:val="000000"/>
          <w:lang w:eastAsia="zh-CN"/>
        </w:rPr>
      </w:pPr>
    </w:p>
    <w:p>
      <w:pPr>
        <w:jc w:val="center"/>
        <w:outlineLvl w:val="1"/>
        <w:rPr>
          <w:rFonts w:ascii="方正小标宋_GBK" w:hAnsi="方正小标宋_GBK" w:eastAsia="方正小标宋_GBK" w:cs="方正小标宋_GBK"/>
          <w:color w:val="000000"/>
          <w:lang w:eastAsia="zh-CN"/>
        </w:rPr>
      </w:pPr>
    </w:p>
    <w:p>
      <w:pPr>
        <w:jc w:val="center"/>
        <w:outlineLvl w:val="1"/>
        <w:rPr>
          <w:rFonts w:ascii="方正小标宋_GBK" w:hAnsi="方正小标宋_GBK" w:eastAsia="方正小标宋_GBK" w:cs="方正小标宋_GBK"/>
          <w:color w:val="000000"/>
        </w:rPr>
      </w:pPr>
    </w:p>
    <w:p>
      <w:pPr>
        <w:jc w:val="center"/>
        <w:outlineLvl w:val="1"/>
        <w:rPr>
          <w:rFonts w:ascii="方正小标宋_GBK" w:hAnsi="方正小标宋_GBK" w:eastAsia="方正小标宋_GBK" w:cs="方正小标宋_GBK"/>
          <w:color w:val="000000"/>
        </w:rPr>
      </w:pPr>
    </w:p>
    <w:p>
      <w:pPr>
        <w:jc w:val="center"/>
        <w:outlineLvl w:val="1"/>
        <w:rPr>
          <w:rFonts w:ascii="方正小标宋_GBK" w:hAnsi="方正小标宋_GBK" w:eastAsia="方正小标宋_GBK" w:cs="方正小标宋_GBK"/>
          <w:color w:val="000000"/>
        </w:rPr>
      </w:pPr>
    </w:p>
    <w:p>
      <w:pPr>
        <w:jc w:val="center"/>
        <w:outlineLvl w:val="1"/>
        <w:rPr>
          <w:rFonts w:ascii="方正小标宋_GBK" w:hAnsi="方正小标宋_GBK" w:eastAsia="方正小标宋_GBK" w:cs="方正小标宋_GBK"/>
          <w:color w:val="000000"/>
        </w:rPr>
      </w:pPr>
    </w:p>
    <w:p>
      <w:pPr>
        <w:jc w:val="center"/>
        <w:outlineLvl w:val="1"/>
        <w:rPr>
          <w:rFonts w:ascii="方正小标宋_GBK" w:hAnsi="方正小标宋_GBK" w:eastAsia="方正小标宋_GBK" w:cs="方正小标宋_GBK"/>
          <w:color w:val="000000"/>
        </w:rPr>
      </w:pPr>
    </w:p>
    <w:p>
      <w:pPr>
        <w:jc w:val="center"/>
        <w:outlineLvl w:val="1"/>
        <w:rPr>
          <w:rFonts w:ascii="方正小标宋_GBK" w:hAnsi="方正小标宋_GBK" w:eastAsia="方正小标宋_GBK" w:cs="方正小标宋_GBK"/>
          <w:color w:val="000000"/>
        </w:rPr>
      </w:pPr>
    </w:p>
    <w:p>
      <w:pPr>
        <w:jc w:val="center"/>
        <w:outlineLvl w:val="1"/>
        <w:rPr>
          <w:rFonts w:ascii="方正小标宋_GBK" w:hAnsi="方正小标宋_GBK" w:eastAsia="方正小标宋_GBK" w:cs="方正小标宋_GBK"/>
          <w:color w:val="000000"/>
        </w:rPr>
      </w:pPr>
    </w:p>
    <w:p>
      <w:pPr>
        <w:jc w:val="center"/>
        <w:outlineLvl w:val="1"/>
        <w:rPr>
          <w:rFonts w:ascii="方正小标宋_GBK" w:hAnsi="方正小标宋_GBK" w:eastAsia="方正小标宋_GBK" w:cs="方正小标宋_GBK"/>
          <w:color w:val="000000"/>
        </w:rPr>
      </w:pPr>
    </w:p>
    <w:p>
      <w:pPr>
        <w:jc w:val="center"/>
        <w:outlineLvl w:val="1"/>
        <w:rPr>
          <w:rFonts w:ascii="方正小标宋_GBK" w:hAnsi="方正小标宋_GBK" w:eastAsia="方正小标宋_GBK" w:cs="方正小标宋_GBK"/>
          <w:color w:val="000000"/>
        </w:rPr>
      </w:pPr>
    </w:p>
    <w:p>
      <w:pPr>
        <w:jc w:val="center"/>
        <w:outlineLvl w:val="1"/>
        <w:rPr>
          <w:rFonts w:ascii="方正小标宋_GBK" w:hAnsi="方正小标宋_GBK" w:eastAsia="方正小标宋_GBK" w:cs="方正小标宋_GBK"/>
          <w:color w:val="000000"/>
        </w:rPr>
      </w:pPr>
    </w:p>
    <w:p>
      <w:pPr>
        <w:jc w:val="center"/>
        <w:outlineLvl w:val="1"/>
        <w:rPr>
          <w:highlight w:val="none"/>
        </w:rPr>
      </w:pPr>
      <w:r>
        <w:rPr>
          <w:rFonts w:ascii="方正小标宋_GBK" w:hAnsi="方正小标宋_GBK" w:eastAsia="方正小标宋_GBK" w:cs="方正小标宋_GBK"/>
          <w:color w:val="000000"/>
          <w:sz w:val="36"/>
          <w:highlight w:val="none"/>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15"/>
        <w:gridCol w:w="3168"/>
        <w:gridCol w:w="5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15" w:type="dxa"/>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w:t>
            </w:r>
            <w:r>
              <w:rPr>
                <w:rFonts w:hint="eastAsia" w:ascii="宋体" w:hAnsi="宋体" w:eastAsia="宋体" w:cs="宋体"/>
                <w:color w:val="000000"/>
                <w:sz w:val="18"/>
                <w:szCs w:val="18"/>
                <w:lang w:eastAsia="zh-CN"/>
              </w:rPr>
              <w:t>213中国共产党涞水县委员会统战部</w:t>
            </w:r>
          </w:p>
        </w:tc>
        <w:tc>
          <w:tcPr>
            <w:tcW w:w="3168"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2024</w:t>
            </w:r>
          </w:p>
        </w:tc>
        <w:tc>
          <w:tcPr>
            <w:tcW w:w="5686" w:type="dxa"/>
            <w:tcBorders>
              <w:top w:val="single" w:color="FFFFFF" w:sz="6" w:space="0"/>
              <w:left w:val="single" w:color="FFFFFF" w:sz="6" w:space="0"/>
              <w:right w:val="single" w:color="FFFFFF" w:sz="6" w:space="0"/>
            </w:tcBorders>
            <w:vAlign w:val="center"/>
          </w:tcPr>
          <w:p>
            <w:pPr>
              <w:pStyle w:val="11"/>
            </w:pPr>
            <w:r>
              <w:t>单位：万元</w:t>
            </w:r>
          </w:p>
        </w:tc>
      </w:tr>
    </w:tbl>
    <w:tbl>
      <w:tblPr>
        <w:tblW w:w="150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79"/>
        <w:gridCol w:w="1049"/>
        <w:gridCol w:w="1978"/>
        <w:gridCol w:w="830"/>
        <w:gridCol w:w="830"/>
        <w:gridCol w:w="1530"/>
        <w:gridCol w:w="1219"/>
        <w:gridCol w:w="1041"/>
        <w:gridCol w:w="1041"/>
        <w:gridCol w:w="1525"/>
        <w:gridCol w:w="1152"/>
        <w:gridCol w:w="1041"/>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264"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预算单位编码及名称：[全部]全部</w:t>
            </w:r>
          </w:p>
        </w:tc>
        <w:tc>
          <w:tcPr>
            <w:tcW w:w="27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预算年度：2024</w:t>
            </w:r>
          </w:p>
        </w:tc>
        <w:tc>
          <w:tcPr>
            <w:tcW w:w="21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序号</w:t>
            </w:r>
          </w:p>
        </w:tc>
        <w:tc>
          <w:tcPr>
            <w:tcW w:w="30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功能分类科目</w:t>
            </w:r>
          </w:p>
        </w:tc>
        <w:tc>
          <w:tcPr>
            <w:tcW w:w="7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合计</w:t>
            </w:r>
          </w:p>
        </w:tc>
        <w:tc>
          <w:tcPr>
            <w:tcW w:w="9402"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本年收入</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科目编码</w:t>
            </w:r>
          </w:p>
        </w:tc>
        <w:tc>
          <w:tcPr>
            <w:tcW w:w="2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科目名称</w:t>
            </w:r>
          </w:p>
        </w:tc>
        <w:tc>
          <w:tcPr>
            <w:tcW w:w="7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小计</w:t>
            </w:r>
          </w:p>
        </w:tc>
        <w:tc>
          <w:tcPr>
            <w:tcW w:w="1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财政拨款收入</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财政专户收入</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事业收入</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经营收入</w:t>
            </w:r>
          </w:p>
        </w:tc>
        <w:tc>
          <w:tcPr>
            <w:tcW w:w="1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上级补助收入</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附属单位上缴收入</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其他收入</w:t>
            </w: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栏次</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w:t>
            </w:r>
          </w:p>
        </w:tc>
        <w:tc>
          <w:tcPr>
            <w:tcW w:w="2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4</w:t>
            </w:r>
          </w:p>
        </w:tc>
        <w:tc>
          <w:tcPr>
            <w:tcW w:w="1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8</w:t>
            </w:r>
          </w:p>
        </w:tc>
        <w:tc>
          <w:tcPr>
            <w:tcW w:w="1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9</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合计</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292.07</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290.17</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290.17</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一般公共服务支出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263.98</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262.08</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262.08</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20123</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民族事务</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113.90</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112.00</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112.00</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2012302</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一般行政管理事务</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2.00</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2.00</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2.00</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2012304</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民族工作专项</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111.90</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110.00</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110.00</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20134</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统战事务</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150.08</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150.08</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150.08</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2013401</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行政运行</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127.08</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127.08</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127.08</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2013404</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宗教事务</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2013499</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其他统战事务支出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13.00</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13.00</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13.00</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社会保障和就业支出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20805</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行政事业单位养老支出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2080505</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机关事业单位基本养老保险缴费支出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卫生健康支出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行政事业单位医疗</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2101101</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行政单位医疗</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2101103</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公务员医疗补助</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1.60</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1.60</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1.60</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住房保障支出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22102</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住房改革支出</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w:t>
            </w: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2210201</w:t>
            </w:r>
          </w:p>
        </w:tc>
        <w:tc>
          <w:tcPr>
            <w:tcW w:w="20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住房公积金</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7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123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bl>
    <w:p>
      <w:pPr>
        <w:sectPr>
          <w:footerReference r:id="rId5" w:type="default"/>
          <w:footerReference r:id="rId6" w:type="even"/>
          <w:pgSz w:w="16840" w:h="11900" w:orient="landscape"/>
          <w:pgMar w:top="1361" w:right="1020" w:bottom="1134" w:left="1020" w:header="720" w:footer="720" w:gutter="0"/>
          <w:pgNumType w:start="1"/>
          <w:cols w:space="720" w:num="1"/>
        </w:sectPr>
      </w:pPr>
    </w:p>
    <w:p>
      <w:pPr>
        <w:jc w:val="center"/>
        <w:outlineLvl w:val="1"/>
        <w:rPr>
          <w:highlight w:val="none"/>
        </w:rPr>
      </w:pPr>
      <w:bookmarkStart w:id="1" w:name="_Toc_2_2_0000000004"/>
      <w:r>
        <w:rPr>
          <w:rFonts w:ascii="方正小标宋_GBK" w:hAnsi="方正小标宋_GBK" w:eastAsia="方正小标宋_GBK" w:cs="方正小标宋_GBK"/>
          <w:color w:val="000000"/>
          <w:sz w:val="36"/>
          <w:highlight w:val="none"/>
        </w:rPr>
        <w:t>部门预算收入总表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15"/>
        <w:gridCol w:w="3168"/>
        <w:gridCol w:w="5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15" w:type="dxa"/>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w:t>
            </w:r>
            <w:r>
              <w:rPr>
                <w:rFonts w:hint="eastAsia" w:ascii="宋体" w:hAnsi="宋体" w:eastAsia="宋体" w:cs="宋体"/>
                <w:color w:val="000000"/>
                <w:sz w:val="18"/>
                <w:szCs w:val="18"/>
                <w:lang w:eastAsia="zh-CN"/>
              </w:rPr>
              <w:t>213中国共产党涞水县委员会统战部</w:t>
            </w:r>
          </w:p>
        </w:tc>
        <w:tc>
          <w:tcPr>
            <w:tcW w:w="3168"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2024</w:t>
            </w:r>
          </w:p>
        </w:tc>
        <w:tc>
          <w:tcPr>
            <w:tcW w:w="5686" w:type="dxa"/>
            <w:tcBorders>
              <w:top w:val="single" w:color="FFFFFF" w:sz="6" w:space="0"/>
              <w:left w:val="single" w:color="FFFFFF" w:sz="6" w:space="0"/>
              <w:right w:val="single" w:color="FFFFFF" w:sz="6" w:space="0"/>
            </w:tcBorders>
            <w:vAlign w:val="center"/>
          </w:tcPr>
          <w:p>
            <w:pPr>
              <w:pStyle w:val="11"/>
            </w:pPr>
            <w:r>
              <w:t>单位：万元</w:t>
            </w:r>
          </w:p>
        </w:tc>
      </w:tr>
    </w:tbl>
    <w:tbl>
      <w:tblPr>
        <w:tblW w:w="1287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56"/>
        <w:gridCol w:w="1096"/>
        <w:gridCol w:w="3736"/>
        <w:gridCol w:w="1536"/>
        <w:gridCol w:w="1096"/>
        <w:gridCol w:w="1096"/>
        <w:gridCol w:w="1096"/>
        <w:gridCol w:w="1790"/>
        <w:gridCol w:w="2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8794" w:type="dxa"/>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预算单位编码及名称：[全部]全部</w:t>
            </w:r>
          </w:p>
        </w:tc>
        <w:tc>
          <w:tcPr>
            <w:tcW w:w="17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预算年度：2024</w:t>
            </w:r>
          </w:p>
        </w:tc>
        <w:tc>
          <w:tcPr>
            <w:tcW w:w="22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292.07</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155.17</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136.90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263.98</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127.08</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136.90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20123</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民族事务</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113.90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113.90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2012302</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2012304</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民族工作专项</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111.90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111.90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20134</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统战事务</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150.08</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127.08</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2013401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127.08</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127.08</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2013404</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宗教事务</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2013499</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其他统战事务支出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jc w:val="right"/>
              <w:rPr>
                <w:rFonts w:hint="default" w:ascii="Calibri" w:hAnsi="Calibri" w:eastAsia="宋体" w:cs="Calibri"/>
                <w:i w:val="0"/>
                <w:iCs w:val="0"/>
                <w:color w:val="000000"/>
                <w:sz w:val="22"/>
                <w:szCs w:val="22"/>
                <w:u w:val="none"/>
              </w:rPr>
            </w:pPr>
          </w:p>
        </w:tc>
      </w:tr>
    </w:tbl>
    <w:p>
      <w:pPr>
        <w:jc w:val="center"/>
        <w:outlineLvl w:val="1"/>
        <w:rPr>
          <w:rFonts w:hint="eastAsia" w:ascii="方正小标宋_GBK" w:hAnsi="方正小标宋_GBK" w:eastAsia="方正小标宋_GBK" w:cs="方正小标宋_GBK"/>
          <w:color w:val="000000"/>
          <w:sz w:val="36"/>
          <w:highlight w:val="none"/>
          <w:lang w:val="en-US" w:eastAsia="zh-CN"/>
        </w:rPr>
      </w:pPr>
    </w:p>
    <w:p>
      <w:pPr>
        <w:jc w:val="center"/>
        <w:outlineLvl w:val="1"/>
        <w:rPr>
          <w:rFonts w:hint="eastAsia" w:ascii="方正小标宋_GBK" w:hAnsi="方正小标宋_GBK" w:eastAsia="方正小标宋_GBK" w:cs="方正小标宋_GBK"/>
          <w:color w:val="000000"/>
          <w:sz w:val="36"/>
          <w:highlight w:val="none"/>
          <w:lang w:val="en-US" w:eastAsia="zh-CN"/>
        </w:rPr>
      </w:pPr>
    </w:p>
    <w:p>
      <w:pPr>
        <w:jc w:val="center"/>
        <w:outlineLvl w:val="1"/>
        <w:rPr>
          <w:rFonts w:hint="eastAsia" w:ascii="方正小标宋_GBK" w:hAnsi="方正小标宋_GBK" w:eastAsia="方正小标宋_GBK" w:cs="方正小标宋_GBK"/>
          <w:color w:val="000000"/>
          <w:sz w:val="36"/>
          <w:highlight w:val="none"/>
          <w:lang w:val="en-US" w:eastAsia="zh-CN"/>
        </w:rPr>
      </w:pPr>
    </w:p>
    <w:p>
      <w:pPr>
        <w:jc w:val="center"/>
        <w:outlineLvl w:val="1"/>
        <w:rPr>
          <w:rFonts w:hint="eastAsia" w:ascii="方正小标宋_GBK" w:hAnsi="方正小标宋_GBK" w:eastAsia="方正小标宋_GBK" w:cs="方正小标宋_GBK"/>
          <w:color w:val="000000"/>
          <w:sz w:val="36"/>
          <w:highlight w:val="none"/>
          <w:lang w:val="en-US" w:eastAsia="zh-CN"/>
        </w:rPr>
      </w:pPr>
    </w:p>
    <w:p>
      <w:pPr>
        <w:jc w:val="center"/>
        <w:outlineLvl w:val="1"/>
        <w:rPr>
          <w:rFonts w:hint="eastAsia" w:ascii="方正小标宋_GBK" w:hAnsi="方正小标宋_GBK" w:eastAsia="方正小标宋_GBK" w:cs="方正小标宋_GBK"/>
          <w:color w:val="000000"/>
          <w:sz w:val="36"/>
          <w:highlight w:val="none"/>
          <w:lang w:val="en-US" w:eastAsia="zh-CN"/>
        </w:rPr>
      </w:pPr>
    </w:p>
    <w:p>
      <w:pPr>
        <w:jc w:val="center"/>
        <w:outlineLvl w:val="1"/>
        <w:rPr>
          <w:rFonts w:hint="eastAsia" w:ascii="方正小标宋_GBK" w:hAnsi="方正小标宋_GBK" w:eastAsia="方正小标宋_GBK" w:cs="方正小标宋_GBK"/>
          <w:color w:val="000000"/>
          <w:sz w:val="36"/>
          <w:highlight w:val="none"/>
          <w:lang w:val="en-US" w:eastAsia="zh-CN"/>
        </w:rPr>
      </w:pPr>
    </w:p>
    <w:p>
      <w:pPr>
        <w:jc w:val="center"/>
        <w:outlineLvl w:val="1"/>
        <w:rPr>
          <w:rFonts w:hint="eastAsia" w:ascii="方正小标宋_GBK" w:hAnsi="方正小标宋_GBK" w:eastAsia="方正小标宋_GBK" w:cs="方正小标宋_GBK"/>
          <w:color w:val="000000"/>
          <w:sz w:val="36"/>
          <w:highlight w:val="none"/>
          <w:lang w:val="en-US" w:eastAsia="zh-CN"/>
        </w:rPr>
      </w:pPr>
    </w:p>
    <w:p>
      <w:pPr>
        <w:jc w:val="center"/>
        <w:outlineLvl w:val="1"/>
        <w:rPr>
          <w:rFonts w:hint="eastAsia" w:ascii="方正小标宋_GBK" w:hAnsi="方正小标宋_GBK" w:eastAsia="方正小标宋_GBK" w:cs="方正小标宋_GBK"/>
          <w:color w:val="000000"/>
          <w:sz w:val="36"/>
          <w:highlight w:val="none"/>
          <w:lang w:val="en-US" w:eastAsia="zh-CN"/>
        </w:rPr>
      </w:pPr>
    </w:p>
    <w:p>
      <w:pPr>
        <w:jc w:val="center"/>
        <w:outlineLvl w:val="1"/>
        <w:rPr>
          <w:rFonts w:hint="eastAsia" w:ascii="方正小标宋_GBK" w:hAnsi="方正小标宋_GBK" w:eastAsia="方正小标宋_GBK" w:cs="方正小标宋_GBK"/>
          <w:color w:val="000000"/>
          <w:sz w:val="36"/>
          <w:highlight w:val="none"/>
          <w:lang w:val="en-US" w:eastAsia="zh-CN"/>
        </w:rPr>
      </w:pPr>
    </w:p>
    <w:p>
      <w:pPr>
        <w:jc w:val="center"/>
        <w:outlineLvl w:val="1"/>
        <w:rPr>
          <w:rFonts w:hint="eastAsia" w:ascii="方正小标宋_GBK" w:hAnsi="方正小标宋_GBK" w:eastAsia="方正小标宋_GBK" w:cs="方正小标宋_GBK"/>
          <w:color w:val="000000"/>
          <w:sz w:val="36"/>
          <w:highlight w:val="none"/>
          <w:lang w:val="en-US" w:eastAsia="zh-CN"/>
        </w:rPr>
      </w:pPr>
    </w:p>
    <w:p>
      <w:pPr>
        <w:jc w:val="center"/>
        <w:outlineLvl w:val="1"/>
        <w:rPr>
          <w:rFonts w:hint="eastAsia" w:ascii="方正小标宋_GBK" w:hAnsi="方正小标宋_GBK" w:eastAsia="方正小标宋_GBK" w:cs="方正小标宋_GBK"/>
          <w:color w:val="000000"/>
          <w:sz w:val="36"/>
          <w:highlight w:val="none"/>
          <w:lang w:val="en-US" w:eastAsia="zh-CN"/>
        </w:rPr>
      </w:pPr>
    </w:p>
    <w:p>
      <w:pPr>
        <w:jc w:val="center"/>
        <w:outlineLvl w:val="1"/>
        <w:rPr>
          <w:rFonts w:hint="eastAsia" w:ascii="方正小标宋_GBK" w:hAnsi="方正小标宋_GBK" w:eastAsia="方正小标宋_GBK" w:cs="方正小标宋_GBK"/>
          <w:color w:val="000000"/>
          <w:sz w:val="36"/>
          <w:highlight w:val="none"/>
          <w:lang w:val="en-US" w:eastAsia="zh-CN"/>
        </w:rPr>
      </w:pPr>
    </w:p>
    <w:p>
      <w:pPr>
        <w:jc w:val="center"/>
        <w:outlineLvl w:val="1"/>
        <w:rPr>
          <w:highlight w:val="none"/>
        </w:rPr>
      </w:pPr>
      <w:r>
        <w:rPr>
          <w:rFonts w:hint="eastAsia" w:ascii="方正小标宋_GBK" w:hAnsi="方正小标宋_GBK" w:eastAsia="方正小标宋_GBK" w:cs="方正小标宋_GBK"/>
          <w:color w:val="000000"/>
          <w:sz w:val="36"/>
          <w:highlight w:val="none"/>
          <w:lang w:val="en-US" w:eastAsia="zh-CN"/>
        </w:rPr>
        <w:t>一般公共预算支出</w:t>
      </w:r>
      <w:r>
        <w:rPr>
          <w:rFonts w:ascii="方正小标宋_GBK" w:hAnsi="方正小标宋_GBK" w:eastAsia="方正小标宋_GBK" w:cs="方正小标宋_GBK"/>
          <w:color w:val="000000"/>
          <w:sz w:val="36"/>
          <w:highlight w:val="none"/>
        </w:rPr>
        <w:t>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15"/>
        <w:gridCol w:w="3168"/>
        <w:gridCol w:w="5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15" w:type="dxa"/>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w:t>
            </w:r>
            <w:r>
              <w:rPr>
                <w:rFonts w:hint="eastAsia" w:ascii="宋体" w:hAnsi="宋体" w:eastAsia="宋体" w:cs="宋体"/>
                <w:color w:val="000000"/>
                <w:sz w:val="18"/>
                <w:szCs w:val="18"/>
                <w:lang w:eastAsia="zh-CN"/>
              </w:rPr>
              <w:t>213中国共产党涞水县委员会统战部</w:t>
            </w:r>
          </w:p>
        </w:tc>
        <w:tc>
          <w:tcPr>
            <w:tcW w:w="3168"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2024</w:t>
            </w:r>
          </w:p>
        </w:tc>
        <w:tc>
          <w:tcPr>
            <w:tcW w:w="5686" w:type="dxa"/>
            <w:tcBorders>
              <w:top w:val="single" w:color="FFFFFF" w:sz="6" w:space="0"/>
              <w:left w:val="single" w:color="FFFFFF" w:sz="6" w:space="0"/>
              <w:right w:val="single" w:color="FFFFFF" w:sz="6" w:space="0"/>
            </w:tcBorders>
            <w:vAlign w:val="center"/>
          </w:tcPr>
          <w:p>
            <w:pPr>
              <w:pStyle w:val="11"/>
            </w:pPr>
            <w:r>
              <w:t>单位：万元</w:t>
            </w:r>
          </w:p>
        </w:tc>
      </w:tr>
    </w:tbl>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8"/>
        <w:gridCol w:w="784"/>
        <w:gridCol w:w="940"/>
        <w:gridCol w:w="1900"/>
        <w:gridCol w:w="1693"/>
        <w:gridCol w:w="3168"/>
        <w:gridCol w:w="5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541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预算单位编码及名称：[全部]全部</w:t>
            </w:r>
          </w:p>
        </w:tc>
        <w:tc>
          <w:tcPr>
            <w:tcW w:w="3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预算年度：2024</w:t>
            </w:r>
          </w:p>
        </w:tc>
        <w:tc>
          <w:tcPr>
            <w:tcW w:w="56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541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序号</w:t>
            </w:r>
          </w:p>
        </w:tc>
        <w:tc>
          <w:tcPr>
            <w:tcW w:w="3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支出部门经济分类科目</w:t>
            </w:r>
          </w:p>
        </w:tc>
        <w:tc>
          <w:tcPr>
            <w:tcW w:w="56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900" w:hRule="atLeast"/>
        </w:trPr>
        <w:tc>
          <w:tcPr>
            <w:tcW w:w="784" w:type="dxa"/>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科目编码</w:t>
            </w:r>
          </w:p>
        </w:tc>
        <w:tc>
          <w:tcPr>
            <w:tcW w:w="1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科目名称</w:t>
            </w: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合计</w:t>
            </w:r>
          </w:p>
        </w:tc>
        <w:tc>
          <w:tcPr>
            <w:tcW w:w="3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人员经费</w:t>
            </w:r>
          </w:p>
        </w:tc>
        <w:tc>
          <w:tcPr>
            <w:tcW w:w="56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8" w:type="dxa"/>
          <w:wAfter w:w="0" w:type="auto"/>
          <w:trHeight w:val="270" w:hRule="atLeast"/>
        </w:trPr>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栏次</w:t>
            </w:r>
          </w:p>
        </w:tc>
        <w:tc>
          <w:tcPr>
            <w:tcW w:w="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2</w:t>
            </w: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3</w:t>
            </w:r>
          </w:p>
        </w:tc>
        <w:tc>
          <w:tcPr>
            <w:tcW w:w="3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4</w:t>
            </w:r>
          </w:p>
        </w:tc>
        <w:tc>
          <w:tcPr>
            <w:tcW w:w="56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合计</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155.17</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123.12</w:t>
            </w: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工资福利支出</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123.12</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123.12</w:t>
            </w: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30101</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基本工资</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52.03</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52.03</w:t>
            </w: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30102</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津贴补贴</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25.30</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25.30</w:t>
            </w: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30103</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奖金</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14.22</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14.22</w:t>
            </w: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30107</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绩效工资</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2.88</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2.88</w:t>
            </w: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30108</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机关事业单位基本养老保险缴费</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30110</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职工基本医疗保险缴费</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w:t>
            </w: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30111</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公务员医疗补助缴费</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1.60</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1.60</w:t>
            </w: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30112</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其他社会保障缴费</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0.48</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0.48</w:t>
            </w: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30113</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住房公积金</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30199</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其他工资福利支出</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0.12</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0.12</w:t>
            </w: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商品和服务支出</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32.05</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30201</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办公费</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9.92</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30207</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邮电费</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0.36</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30211</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差旅费</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1.10</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30217</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公务接待费</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30228</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工会经费</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30229</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福利费</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2.85</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30231</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公务用车运行维护费</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5.00</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30239</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其他交通费用</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7.14</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98" w:type="dxa"/>
          <w:wAfter w:w="0" w:type="auto"/>
          <w:trHeight w:val="450" w:hRule="atLeast"/>
        </w:trPr>
        <w:tc>
          <w:tcPr>
            <w:tcW w:w="78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w:t>
            </w:r>
          </w:p>
        </w:tc>
        <w:tc>
          <w:tcPr>
            <w:tcW w:w="9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30299</w:t>
            </w:r>
          </w:p>
        </w:tc>
        <w:tc>
          <w:tcPr>
            <w:tcW w:w="1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其他商品和服务支出</w:t>
            </w:r>
          </w:p>
        </w:tc>
        <w:tc>
          <w:tcPr>
            <w:tcW w:w="169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0.68</w:t>
            </w:r>
          </w:p>
        </w:tc>
        <w:tc>
          <w:tcPr>
            <w:tcW w:w="3168"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56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0.68</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bookmarkEnd w:id="1"/>
    <w:p/>
    <w:p>
      <w:pPr>
        <w:jc w:val="center"/>
        <w:outlineLvl w:val="1"/>
        <w:rPr>
          <w:highlight w:val="none"/>
        </w:rPr>
      </w:pPr>
      <w:r>
        <w:rPr>
          <w:rFonts w:hint="eastAsia" w:ascii="方正小标宋_GBK" w:hAnsi="方正小标宋_GBK" w:eastAsia="方正小标宋_GBK" w:cs="方正小标宋_GBK"/>
          <w:color w:val="000000"/>
          <w:sz w:val="36"/>
          <w:highlight w:val="none"/>
          <w:lang w:val="en-US" w:eastAsia="zh-CN"/>
        </w:rPr>
        <w:t>部门预算拨款收支总</w:t>
      </w:r>
      <w:r>
        <w:rPr>
          <w:rFonts w:ascii="方正小标宋_GBK" w:hAnsi="方正小标宋_GBK" w:eastAsia="方正小标宋_GBK" w:cs="方正小标宋_GBK"/>
          <w:color w:val="000000"/>
          <w:sz w:val="36"/>
          <w:highlight w:val="none"/>
        </w:rPr>
        <w:t>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15"/>
        <w:gridCol w:w="3168"/>
        <w:gridCol w:w="5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15" w:type="dxa"/>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w:t>
            </w:r>
            <w:r>
              <w:rPr>
                <w:rFonts w:hint="eastAsia" w:ascii="宋体" w:hAnsi="宋体" w:eastAsia="宋体" w:cs="宋体"/>
                <w:color w:val="000000"/>
                <w:sz w:val="18"/>
                <w:szCs w:val="18"/>
                <w:lang w:eastAsia="zh-CN"/>
              </w:rPr>
              <w:t>213中国共产党涞水县委员会统战部</w:t>
            </w:r>
          </w:p>
        </w:tc>
        <w:tc>
          <w:tcPr>
            <w:tcW w:w="3168"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2024</w:t>
            </w:r>
          </w:p>
        </w:tc>
        <w:tc>
          <w:tcPr>
            <w:tcW w:w="5686" w:type="dxa"/>
            <w:tcBorders>
              <w:top w:val="single" w:color="FFFFFF" w:sz="6" w:space="0"/>
              <w:left w:val="single" w:color="FFFFFF" w:sz="6" w:space="0"/>
              <w:right w:val="single" w:color="FFFFFF" w:sz="6" w:space="0"/>
            </w:tcBorders>
            <w:vAlign w:val="center"/>
          </w:tcPr>
          <w:p>
            <w:pPr>
              <w:pStyle w:val="11"/>
            </w:pPr>
            <w:r>
              <w:t>单位：万元</w:t>
            </w:r>
          </w:p>
        </w:tc>
      </w:tr>
    </w:tbl>
    <w:tbl>
      <w:tblPr>
        <w:tblW w:w="14533"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75"/>
        <w:gridCol w:w="1049"/>
        <w:gridCol w:w="2009"/>
        <w:gridCol w:w="985"/>
        <w:gridCol w:w="1800"/>
        <w:gridCol w:w="1486"/>
        <w:gridCol w:w="2843"/>
        <w:gridCol w:w="3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810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预算单位编码及名称：[全部]全部</w:t>
            </w:r>
          </w:p>
        </w:tc>
        <w:tc>
          <w:tcPr>
            <w:tcW w:w="2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预算年度：2024</w:t>
            </w:r>
          </w:p>
        </w:tc>
        <w:tc>
          <w:tcPr>
            <w:tcW w:w="35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序号</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支出功能分类科目</w:t>
            </w:r>
          </w:p>
        </w:tc>
        <w:tc>
          <w:tcPr>
            <w:tcW w:w="9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合计</w:t>
            </w:r>
          </w:p>
        </w:tc>
        <w:tc>
          <w:tcPr>
            <w:tcW w:w="612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基本支出</w:t>
            </w:r>
          </w:p>
        </w:tc>
        <w:tc>
          <w:tcPr>
            <w:tcW w:w="358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科目编码</w:t>
            </w:r>
          </w:p>
        </w:tc>
        <w:tc>
          <w:tcPr>
            <w:tcW w:w="20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科目名称</w:t>
            </w:r>
          </w:p>
        </w:tc>
        <w:tc>
          <w:tcPr>
            <w:tcW w:w="9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小计</w:t>
            </w:r>
          </w:p>
        </w:tc>
        <w:tc>
          <w:tcPr>
            <w:tcW w:w="1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人员经费</w:t>
            </w:r>
          </w:p>
        </w:tc>
        <w:tc>
          <w:tcPr>
            <w:tcW w:w="2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公用经费</w:t>
            </w:r>
          </w:p>
        </w:tc>
        <w:tc>
          <w:tcPr>
            <w:tcW w:w="358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栏次</w:t>
            </w:r>
          </w:p>
        </w:tc>
        <w:tc>
          <w:tcPr>
            <w:tcW w:w="10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w:t>
            </w:r>
          </w:p>
        </w:tc>
        <w:tc>
          <w:tcPr>
            <w:tcW w:w="20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2</w:t>
            </w:r>
          </w:p>
        </w:tc>
        <w:tc>
          <w:tcPr>
            <w:tcW w:w="9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4</w:t>
            </w:r>
          </w:p>
        </w:tc>
        <w:tc>
          <w:tcPr>
            <w:tcW w:w="1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5</w:t>
            </w:r>
          </w:p>
        </w:tc>
        <w:tc>
          <w:tcPr>
            <w:tcW w:w="2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6</w:t>
            </w:r>
          </w:p>
        </w:tc>
        <w:tc>
          <w:tcPr>
            <w:tcW w:w="35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合计</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292.07</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155.17</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123.12</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32.05</w:t>
            </w: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一般公共服务支出</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263.98</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127.08</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95.03</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32.05</w:t>
            </w: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20123</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民族事务</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113.90</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2012302</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一般行政管理事务</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2.00</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2012304</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民族工作专项</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111.90</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20134</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统战事务</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150.08</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127.08</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95.03</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32.05</w:t>
            </w: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2013401</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行政运行</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127.08</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127.08</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95.03</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32.05</w:t>
            </w: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2013404</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宗教事务</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2013499</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其他统战事务支出</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13.00</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社会保障和就业支出</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20805</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行政事业单位养老支出</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2080505</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机关事业单位基本养老保险缴费支出</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卫生健康支出</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行政事业单位医疗</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6.71</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2101101</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行政单位医疗</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2101103</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公务员医疗补助</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1.60</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1.60</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1.60</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住房保障支出</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22102</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住房改革支出</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w:t>
            </w:r>
          </w:p>
        </w:tc>
        <w:tc>
          <w:tcPr>
            <w:tcW w:w="1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2210201</w:t>
            </w:r>
          </w:p>
        </w:tc>
        <w:tc>
          <w:tcPr>
            <w:tcW w:w="200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住房公积金</w:t>
            </w:r>
          </w:p>
        </w:tc>
        <w:tc>
          <w:tcPr>
            <w:tcW w:w="98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18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1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284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bl>
    <w:p/>
    <w:p/>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2" w:name="_Toc_2_2_0000000006"/>
      <w:r>
        <w:rPr>
          <w:rFonts w:ascii="方正小标宋_GBK" w:hAnsi="方正小标宋_GBK" w:eastAsia="方正小标宋_GBK" w:cs="方正小标宋_GBK"/>
          <w:color w:val="000000"/>
          <w:sz w:val="36"/>
        </w:rPr>
        <w:t>部门预算一般公共预算财政拨款基本支出表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76"/>
        <w:gridCol w:w="2551"/>
        <w:gridCol w:w="5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预算单位编码及名称：213中国共产党涞水县委员会统战部</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2024</w:t>
            </w:r>
          </w:p>
        </w:tc>
        <w:tc>
          <w:tcPr>
            <w:tcW w:w="5103" w:type="dxa"/>
            <w:tcBorders>
              <w:top w:val="single" w:color="FFFFFF" w:sz="6" w:space="0"/>
              <w:left w:val="single" w:color="FFFFFF" w:sz="6" w:space="0"/>
              <w:right w:val="single" w:color="FFFFFF" w:sz="6" w:space="0"/>
            </w:tcBorders>
            <w:vAlign w:val="center"/>
          </w:tcPr>
          <w:p>
            <w:pPr>
              <w:pStyle w:val="11"/>
            </w:pPr>
            <w:r>
              <w:t>单位：万元</w:t>
            </w:r>
          </w:p>
        </w:tc>
      </w:tr>
    </w:tbl>
    <w:tbl>
      <w:tblPr>
        <w:tblW w:w="14553"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79"/>
        <w:gridCol w:w="938"/>
        <w:gridCol w:w="2363"/>
        <w:gridCol w:w="2700"/>
        <w:gridCol w:w="3900"/>
        <w:gridCol w:w="3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67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bookmarkStart w:id="3" w:name="_Toc_2_2_0000000007"/>
            <w:r>
              <w:rPr>
                <w:rFonts w:ascii="宋体" w:hAnsi="宋体" w:eastAsia="宋体" w:cs="宋体"/>
                <w:i w:val="0"/>
                <w:iCs w:val="0"/>
                <w:color w:val="000000"/>
                <w:kern w:val="0"/>
                <w:sz w:val="22"/>
                <w:szCs w:val="22"/>
                <w:u w:val="none"/>
                <w:bdr w:val="none" w:color="auto" w:sz="0" w:space="0"/>
                <w:lang w:val="en-US" w:eastAsia="zh-CN" w:bidi="ar"/>
              </w:rPr>
              <w:t>预算单位编码及名称：[全部]全部</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预算年度：2024</w:t>
            </w:r>
          </w:p>
        </w:tc>
        <w:tc>
          <w:tcPr>
            <w:tcW w:w="38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序号</w:t>
            </w:r>
          </w:p>
        </w:tc>
        <w:tc>
          <w:tcPr>
            <w:tcW w:w="330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支出部门经济分类科目</w:t>
            </w:r>
          </w:p>
        </w:tc>
        <w:tc>
          <w:tcPr>
            <w:tcW w:w="1047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科目编码</w:t>
            </w:r>
          </w:p>
        </w:tc>
        <w:tc>
          <w:tcPr>
            <w:tcW w:w="23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科目名称</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合计</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人员经费</w:t>
            </w:r>
          </w:p>
        </w:tc>
        <w:tc>
          <w:tcPr>
            <w:tcW w:w="38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栏次</w:t>
            </w:r>
          </w:p>
        </w:tc>
        <w:tc>
          <w:tcPr>
            <w:tcW w:w="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w:t>
            </w:r>
          </w:p>
        </w:tc>
        <w:tc>
          <w:tcPr>
            <w:tcW w:w="23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2</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3</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4</w:t>
            </w:r>
          </w:p>
        </w:tc>
        <w:tc>
          <w:tcPr>
            <w:tcW w:w="38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Calibri" w:hAnsi="Calibri" w:eastAsia="宋体" w:cs="Calibri"/>
                <w:i w:val="0"/>
                <w:iCs w:val="0"/>
                <w:color w:val="000000"/>
                <w:sz w:val="22"/>
                <w:szCs w:val="22"/>
                <w:u w:val="none"/>
              </w:rPr>
            </w:pP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合计</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155.17</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123.12</w:t>
            </w: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工资福利支出</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123.12</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123.12</w:t>
            </w: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30101</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基本工资</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52.03</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52.03</w:t>
            </w: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30102</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津贴补贴</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25.30</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25.30</w:t>
            </w: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30103</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奖金</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14.22</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14.22</w:t>
            </w: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30107</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绩效工资</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2.88</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2.88</w:t>
            </w: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30108</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机关事业单位基本养老保险缴费</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13.27</w:t>
            </w: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30110</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职工基本医疗保险缴费</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w:t>
            </w: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30111</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公务员医疗补助缴费</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1.60</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1.60</w:t>
            </w: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30112</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其他社会保障缴费</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0.48</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0.48</w:t>
            </w: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30113</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住房公积金</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8.11</w:t>
            </w: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30199</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其他工资福利支出</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0.12</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0.12</w:t>
            </w: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商品和服务支出</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32.05</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30201</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办公费</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9.92</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30207</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邮电费</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0.36</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30211</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差旅费</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1.10</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30217</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公务接待费</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30228</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工会经费</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30229</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福利费</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2.85</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30231</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公务用车运行维护费</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5.00</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30239</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其他交通费用</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7.14</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w:t>
            </w:r>
          </w:p>
        </w:tc>
        <w:tc>
          <w:tcPr>
            <w:tcW w:w="9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30299</w:t>
            </w:r>
          </w:p>
        </w:tc>
        <w:tc>
          <w:tcPr>
            <w:tcW w:w="236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其他商品和服务支出</w:t>
            </w:r>
          </w:p>
        </w:tc>
        <w:tc>
          <w:tcPr>
            <w:tcW w:w="27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0.68</w:t>
            </w:r>
          </w:p>
        </w:tc>
        <w:tc>
          <w:tcPr>
            <w:tcW w:w="3900" w:type="dxa"/>
            <w:tcBorders>
              <w:top w:val="single" w:color="000000" w:sz="4" w:space="0"/>
              <w:left w:val="single" w:color="000000" w:sz="4" w:space="0"/>
              <w:bottom w:val="single" w:color="000000" w:sz="4" w:space="0"/>
              <w:right w:val="single" w:color="000000" w:sz="4" w:space="0"/>
            </w:tcBorders>
            <w:shd w:val="clear"/>
            <w:vAlign w:val="top"/>
          </w:tcPr>
          <w:p>
            <w:pPr>
              <w:jc w:val="right"/>
              <w:rPr>
                <w:rFonts w:hint="default" w:ascii="Calibri" w:hAnsi="Calibri" w:eastAsia="宋体" w:cs="Calibri"/>
                <w:i w:val="0"/>
                <w:iCs w:val="0"/>
                <w:color w:val="000000"/>
                <w:sz w:val="22"/>
                <w:szCs w:val="22"/>
                <w:u w:val="none"/>
              </w:rPr>
            </w:pPr>
          </w:p>
        </w:tc>
        <w:tc>
          <w:tcPr>
            <w:tcW w:w="387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0.68</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部门预算政府基金预算财政拨款支出表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预算单位编码及名称：213中国共产党涞水县委员会统战部</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4" w:name="_Toc_2_2_0000000008"/>
      <w:r>
        <w:rPr>
          <w:rFonts w:ascii="方正小标宋_GBK" w:hAnsi="方正小标宋_GBK" w:eastAsia="方正小标宋_GBK" w:cs="方正小标宋_GBK"/>
          <w:color w:val="000000"/>
          <w:sz w:val="36"/>
        </w:rPr>
        <w:t>部门预算国有资本经营预算财政拨款支出表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预算单位编码及名称：213中国共产党涞水县委员会统战部</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5" w:name="_Toc_2_2_0000000009"/>
      <w:r>
        <w:rPr>
          <w:rFonts w:ascii="方正小标宋_GBK" w:hAnsi="方正小标宋_GBK" w:eastAsia="方正小标宋_GBK" w:cs="方正小标宋_GBK"/>
          <w:color w:val="000000"/>
          <w:sz w:val="36"/>
        </w:rPr>
        <w:t>部门预算财政拨款“三公”经费支出表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ascii="宋体" w:hAnsi="宋体" w:eastAsia="宋体" w:cs="宋体"/>
                <w:color w:val="000000"/>
                <w:sz w:val="22"/>
                <w:szCs w:val="22"/>
                <w:lang w:eastAsia="zh-CN"/>
              </w:rPr>
              <w:t>预算单位编码及名称：213中国共产党涞水县委员会统战部</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2024</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lang w:eastAsia="zh-CN"/>
              </w:rPr>
            </w:pPr>
            <w:r>
              <w:rPr>
                <w:rFonts w:hint="eastAsia"/>
                <w:lang w:eastAsia="zh-CN"/>
              </w:rPr>
              <w:t>9.00</w:t>
            </w:r>
          </w:p>
        </w:tc>
        <w:tc>
          <w:tcPr>
            <w:tcW w:w="2381" w:type="dxa"/>
            <w:vAlign w:val="center"/>
          </w:tcPr>
          <w:p>
            <w:pPr>
              <w:pStyle w:val="15"/>
              <w:rPr>
                <w:lang w:eastAsia="zh-CN"/>
              </w:rPr>
            </w:pPr>
            <w:r>
              <w:rPr>
                <w:rFonts w:hint="eastAsia"/>
                <w:lang w:eastAsia="zh-CN"/>
              </w:rPr>
              <w:t>9.00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5.00</w:t>
            </w:r>
          </w:p>
        </w:tc>
        <w:tc>
          <w:tcPr>
            <w:tcW w:w="2381" w:type="dxa"/>
            <w:vAlign w:val="center"/>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5.00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4.00</w:t>
            </w:r>
          </w:p>
        </w:tc>
        <w:tc>
          <w:tcPr>
            <w:tcW w:w="2381" w:type="dxa"/>
            <w:vAlign w:val="center"/>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4.00</w:t>
            </w: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涞水县统战部2024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涞水县统战部2024</w:t>
      </w:r>
      <w:r>
        <w:rPr>
          <w:rFonts w:eastAsia="方正仿宋_GBK"/>
          <w:color w:val="000000"/>
          <w:sz w:val="28"/>
        </w:rPr>
        <w:t>年部门预算公开如下：</w:t>
      </w:r>
    </w:p>
    <w:p>
      <w:pPr>
        <w:spacing w:before="10" w:after="10" w:line="360" w:lineRule="auto"/>
        <w:ind w:firstLine="640"/>
        <w:outlineLvl w:val="2"/>
      </w:pPr>
      <w:bookmarkStart w:id="6" w:name="_Toc_3_3_0000000010"/>
      <w:r>
        <w:rPr>
          <w:rFonts w:ascii="黑体" w:hAnsi="黑体" w:eastAsia="黑体" w:cs="黑体"/>
          <w:color w:val="000000"/>
          <w:sz w:val="32"/>
        </w:rPr>
        <w:t>一、部门职责及机构设置情况</w:t>
      </w:r>
      <w:bookmarkEnd w:id="6"/>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涞水县统战部</w:t>
      </w:r>
      <w:r>
        <w:t>部门职责</w:t>
      </w:r>
    </w:p>
    <w:p>
      <w:pPr>
        <w:spacing w:line="500" w:lineRule="exact"/>
        <w:ind w:firstLine="560"/>
        <w:rPr>
          <w:rFonts w:eastAsia="方正仿宋_GBK"/>
          <w:color w:val="000000"/>
          <w:sz w:val="28"/>
        </w:rPr>
      </w:pPr>
      <w:r>
        <w:rPr>
          <w:rFonts w:hint="eastAsia" w:eastAsia="方正仿宋_GBK"/>
          <w:color w:val="000000"/>
          <w:sz w:val="28"/>
          <w:lang w:eastAsia="zh-CN"/>
        </w:rPr>
        <w:t>（一）</w:t>
      </w:r>
      <w:r>
        <w:rPr>
          <w:rFonts w:hint="eastAsia" w:eastAsia="方正仿宋_GBK"/>
          <w:color w:val="000000"/>
          <w:sz w:val="28"/>
        </w:rPr>
        <w:t>负责协调、监督、检查全县统一战线工作，调研、执行中央关于统战的方针、政策，并反映工作意见和建议，协调处理统战工作中的问题。</w:t>
      </w:r>
    </w:p>
    <w:p>
      <w:pPr>
        <w:spacing w:line="500" w:lineRule="exact"/>
        <w:ind w:firstLine="560"/>
        <w:rPr>
          <w:rFonts w:eastAsia="方正仿宋_GBK"/>
          <w:color w:val="000000"/>
          <w:sz w:val="28"/>
        </w:rPr>
      </w:pPr>
      <w:r>
        <w:rPr>
          <w:rFonts w:hint="eastAsia" w:eastAsia="方正仿宋_GBK"/>
          <w:color w:val="000000"/>
          <w:sz w:val="28"/>
          <w:lang w:eastAsia="zh-CN"/>
        </w:rPr>
        <w:t>（二）</w:t>
      </w:r>
      <w:r>
        <w:rPr>
          <w:rFonts w:hint="eastAsia" w:eastAsia="方正仿宋_GBK"/>
          <w:color w:val="000000"/>
          <w:sz w:val="28"/>
        </w:rPr>
        <w:t>负责联系各民主党派和无党派人士，反映他们的意见和建议；研究贯彻中国共产党领导的多党合作和政治协商制度以及对民主党派的方针、政策；落实中央、省、市委关于发挥民主党派和无党派代表人士参政议政和民主监督作用的工作，为县委同民主党派、无党派人士进行政治协商做好组织联系工作；</w:t>
      </w:r>
    </w:p>
    <w:p>
      <w:pPr>
        <w:spacing w:line="500" w:lineRule="exact"/>
        <w:ind w:firstLine="560"/>
        <w:rPr>
          <w:rFonts w:eastAsia="方正仿宋_GBK"/>
          <w:color w:val="000000"/>
          <w:sz w:val="28"/>
        </w:rPr>
      </w:pPr>
      <w:r>
        <w:rPr>
          <w:rFonts w:hint="eastAsia" w:eastAsia="方正仿宋_GBK"/>
          <w:color w:val="000000"/>
          <w:sz w:val="28"/>
          <w:lang w:eastAsia="zh-CN"/>
        </w:rPr>
        <w:t>（三）</w:t>
      </w:r>
      <w:r>
        <w:rPr>
          <w:rFonts w:hint="eastAsia" w:eastAsia="方正仿宋_GBK"/>
          <w:color w:val="000000"/>
          <w:sz w:val="28"/>
        </w:rPr>
        <w:t>调研、监督检查有关民族和宗教工作重大方针、政策的贯彻执行情况；联系少数民族和宗教界的代表人物；协助有关部门做好少数民族干部的培养和举荐工作。</w:t>
      </w:r>
    </w:p>
    <w:p>
      <w:pPr>
        <w:spacing w:line="500" w:lineRule="exact"/>
        <w:ind w:firstLine="560"/>
        <w:rPr>
          <w:rFonts w:eastAsia="方正仿宋_GBK"/>
          <w:color w:val="000000"/>
          <w:sz w:val="28"/>
        </w:rPr>
      </w:pPr>
      <w:r>
        <w:rPr>
          <w:rFonts w:hint="eastAsia" w:eastAsia="方正仿宋_GBK"/>
          <w:color w:val="000000"/>
          <w:sz w:val="28"/>
          <w:lang w:eastAsia="zh-CN"/>
        </w:rPr>
        <w:t>（四）</w:t>
      </w:r>
      <w:r>
        <w:rPr>
          <w:rFonts w:hint="eastAsia" w:eastAsia="方正仿宋_GBK"/>
          <w:color w:val="000000"/>
          <w:sz w:val="28"/>
        </w:rPr>
        <w:t>负责开展以祖国统一为重点的海外统战工作；联系香港澳门和海外有关代表人士；做好台胞、台属、及侨务工作。</w:t>
      </w:r>
    </w:p>
    <w:p>
      <w:pPr>
        <w:spacing w:line="500" w:lineRule="exact"/>
        <w:ind w:firstLine="560"/>
        <w:rPr>
          <w:rFonts w:eastAsia="方正仿宋_GBK"/>
          <w:color w:val="000000"/>
          <w:sz w:val="28"/>
        </w:rPr>
      </w:pPr>
      <w:r>
        <w:rPr>
          <w:rFonts w:hint="eastAsia" w:eastAsia="方正仿宋_GBK"/>
          <w:color w:val="000000"/>
          <w:sz w:val="28"/>
          <w:lang w:eastAsia="zh-CN"/>
        </w:rPr>
        <w:t>（五）</w:t>
      </w:r>
      <w:r>
        <w:rPr>
          <w:rFonts w:hint="eastAsia" w:eastAsia="方正仿宋_GBK"/>
          <w:color w:val="000000"/>
          <w:sz w:val="28"/>
        </w:rPr>
        <w:t>负责党外人士的政治安排，会同有关部门做好培养、选拔、推荐、安排党外人士担任政府、政府部门和司法机关领导职务的工作；做好党外后备干部和新的代表人物队伍的工作；受县委委托，领导县工商联党组，指导工商联工作。</w:t>
      </w:r>
    </w:p>
    <w:p>
      <w:pPr>
        <w:spacing w:line="500" w:lineRule="exact"/>
        <w:ind w:firstLine="560"/>
        <w:rPr>
          <w:rFonts w:eastAsia="方正仿宋_GBK"/>
          <w:color w:val="000000"/>
          <w:sz w:val="28"/>
        </w:rPr>
      </w:pPr>
      <w:r>
        <w:rPr>
          <w:rFonts w:hint="eastAsia" w:eastAsia="方正仿宋_GBK"/>
          <w:color w:val="000000"/>
          <w:sz w:val="28"/>
          <w:lang w:eastAsia="zh-CN"/>
        </w:rPr>
        <w:t>（六）</w:t>
      </w:r>
      <w:r>
        <w:rPr>
          <w:rFonts w:hint="eastAsia" w:eastAsia="方正仿宋_GBK"/>
          <w:color w:val="000000"/>
          <w:sz w:val="28"/>
        </w:rPr>
        <w:t>调查研究我县非公有制经济代表人士的情况，提出相应政策建议，团结、帮助、引导、教育非公有制经济代表人士。</w:t>
      </w:r>
    </w:p>
    <w:p>
      <w:pPr>
        <w:spacing w:line="500" w:lineRule="exact"/>
        <w:ind w:firstLine="560"/>
        <w:rPr>
          <w:rFonts w:eastAsia="方正仿宋_GBK"/>
          <w:color w:val="000000"/>
          <w:sz w:val="28"/>
        </w:rPr>
      </w:pPr>
      <w:r>
        <w:rPr>
          <w:rFonts w:hint="eastAsia" w:eastAsia="方正仿宋_GBK"/>
          <w:color w:val="000000"/>
          <w:sz w:val="28"/>
          <w:lang w:eastAsia="zh-CN"/>
        </w:rPr>
        <w:t>（七）</w:t>
      </w:r>
      <w:r>
        <w:rPr>
          <w:rFonts w:hint="eastAsia" w:eastAsia="方正仿宋_GBK"/>
          <w:color w:val="000000"/>
          <w:sz w:val="28"/>
        </w:rPr>
        <w:t>调查研究党外知识分子的情况，提出相应政策建议；联系并培养党外知识分子代表人物。八是负责开展海内外统战宣传工作和统战系统干部培训工作；协调政府各有关部门的统战工作；指导地方党委统战工作。</w:t>
      </w:r>
    </w:p>
    <w:p>
      <w:pPr>
        <w:spacing w:line="500" w:lineRule="exact"/>
        <w:ind w:firstLine="560"/>
        <w:rPr>
          <w:rFonts w:eastAsia="方正仿宋_GBK"/>
          <w:color w:val="000000"/>
          <w:sz w:val="28"/>
        </w:rPr>
      </w:pPr>
      <w:r>
        <w:rPr>
          <w:rFonts w:hint="eastAsia" w:eastAsia="方正仿宋_GBK"/>
          <w:color w:val="000000"/>
          <w:sz w:val="28"/>
        </w:rPr>
        <w:t>县委统战部设下列内设机构：</w:t>
      </w:r>
    </w:p>
    <w:p>
      <w:pPr>
        <w:spacing w:line="500" w:lineRule="exact"/>
        <w:ind w:firstLine="560"/>
        <w:rPr>
          <w:rFonts w:eastAsia="方正仿宋_GBK"/>
          <w:color w:val="000000"/>
          <w:sz w:val="28"/>
        </w:rPr>
      </w:pPr>
      <w:r>
        <w:rPr>
          <w:rFonts w:hint="eastAsia" w:eastAsia="方正仿宋_GBK"/>
          <w:color w:val="000000"/>
          <w:sz w:val="28"/>
        </w:rPr>
        <w:t>中共涞水县委统一战线工作部(简称县委统战部)为县委工作机关，机构规格正科级，挂县政府侨务办公室、县民族宗教事务局牌子。</w:t>
      </w:r>
    </w:p>
    <w:p>
      <w:pPr>
        <w:spacing w:line="500" w:lineRule="exact"/>
        <w:ind w:firstLine="560"/>
        <w:rPr>
          <w:rFonts w:eastAsia="方正仿宋_GBK"/>
          <w:color w:val="000000"/>
          <w:sz w:val="28"/>
        </w:rPr>
      </w:pPr>
      <w:r>
        <w:rPr>
          <w:rFonts w:hint="eastAsia" w:eastAsia="方正仿宋_GBK"/>
          <w:color w:val="000000"/>
          <w:sz w:val="28"/>
        </w:rPr>
        <w:t>（一）办公室（台务侨务室）。负责统战部办公室的日常工作，传达领导班子研究部署的各项工作；承担机关的文件、会务、信息、廉政和党务等方面的工作；负责各民主党派、无党派人士和党外知识分子的团结和引领，做好党外干部培训、推荐和队伍建设工作；负责统战部机关干部管理，负责财务工作。负责宣传贯彻党有关非公经济的方针政策，引导非公经济健康成长、健康发展；教育引导非公有制经济人士，投身社会公益事业、履行社会责任；做好工商界代表人士政治安排的推荐工作；指导民间商会、行业协会的建设、服务和教育管理工作；增进与全国各地和国内外工商社团及工商经济人士的联谊，促进经济、技术和贸易合作发展；承办领导交办的各项临时性工作。</w:t>
      </w:r>
    </w:p>
    <w:p>
      <w:pPr>
        <w:spacing w:line="500" w:lineRule="exact"/>
        <w:ind w:firstLine="560"/>
        <w:rPr>
          <w:rFonts w:eastAsia="方正仿宋_GBK"/>
          <w:color w:val="000000"/>
          <w:sz w:val="28"/>
        </w:rPr>
      </w:pPr>
      <w:r>
        <w:rPr>
          <w:rFonts w:hint="eastAsia" w:eastAsia="方正仿宋_GBK"/>
          <w:color w:val="000000"/>
          <w:sz w:val="28"/>
        </w:rPr>
        <w:t>贯彻执行党中央、国务院和省、市、县党委、政府对台工作方针政策；组织、指导、管理、协调全县各部门、各乡镇的对台工作；指导、协调全县对台经济工作，指导全县对台招商引资活动；负责全县对台宣传、渉台教育和渉台新闻发布的事务管理工作，处理渉台事件。</w:t>
      </w:r>
    </w:p>
    <w:p>
      <w:pPr>
        <w:spacing w:line="500" w:lineRule="exact"/>
        <w:ind w:firstLine="560"/>
        <w:rPr>
          <w:rFonts w:eastAsia="方正仿宋_GBK"/>
          <w:color w:val="000000"/>
          <w:sz w:val="28"/>
        </w:rPr>
      </w:pPr>
      <w:r>
        <w:rPr>
          <w:rFonts w:hint="eastAsia" w:eastAsia="方正仿宋_GBK"/>
          <w:color w:val="000000"/>
          <w:sz w:val="28"/>
        </w:rPr>
        <w:t>贯彻党和政府的各项侨务政策、法规；密切与海外侨胞、留学人员及其社团的关系，为有关部门制定侨务工作的方针、政策提供建设和议案；调查研究侨情和侨务工作开展情况；负责华侨、华人的联谊、来访、接待工作，组织有关部门开展海外联谊与交流；协助海外侨胞捐资兴办文化、教育、卫生等社会公益事业，指导扶持侨属企业。</w:t>
      </w:r>
    </w:p>
    <w:p>
      <w:pPr>
        <w:spacing w:line="500" w:lineRule="exact"/>
        <w:ind w:firstLine="560"/>
        <w:rPr>
          <w:rFonts w:eastAsia="方正仿宋_GBK"/>
          <w:color w:val="000000"/>
          <w:sz w:val="28"/>
        </w:rPr>
      </w:pPr>
      <w:r>
        <w:rPr>
          <w:rFonts w:hint="eastAsia" w:eastAsia="方正仿宋_GBK"/>
          <w:color w:val="000000"/>
          <w:sz w:val="28"/>
        </w:rPr>
        <w:t>（二）民族宗教股。宣传贯彻执行民族、宗教方面工作的方针政策；对基层民族宗教工作进行指导、监督和检查，教育培养少数民族干部和爱国宗教人士；依法维护少数民族和宗教人士、宗教场所的合法权益；及时了解掌握国内外宗教动态，处理民族宗教方面的突发性事件；促进民族团结，巩固和发展党同宗教界人士的爱国统一战线，做好保密工作。</w:t>
      </w:r>
    </w:p>
    <w:p>
      <w:pPr>
        <w:spacing w:line="500" w:lineRule="exact"/>
        <w:ind w:firstLine="560"/>
        <w:rPr>
          <w:rFonts w:eastAsia="方正仿宋_GBK"/>
          <w:color w:val="000000"/>
          <w:sz w:val="28"/>
        </w:rPr>
      </w:pPr>
      <w:r>
        <w:rPr>
          <w:rFonts w:hint="eastAsia" w:eastAsia="方正仿宋_GBK"/>
          <w:color w:val="000000"/>
          <w:sz w:val="28"/>
        </w:rPr>
        <w:t>（三）编制情况：县委统战部机关行政编制8名。股级职数2名。实有</w:t>
      </w:r>
      <w:r>
        <w:rPr>
          <w:rFonts w:hint="eastAsia" w:eastAsia="方正仿宋_GBK"/>
          <w:color w:val="000000"/>
          <w:sz w:val="28"/>
          <w:lang w:val="en-US" w:eastAsia="zh-CN"/>
        </w:rPr>
        <w:t>10</w:t>
      </w:r>
      <w:r>
        <w:rPr>
          <w:rFonts w:hint="eastAsia" w:eastAsia="方正仿宋_GBK"/>
          <w:color w:val="000000"/>
          <w:sz w:val="28"/>
        </w:rPr>
        <w:t>人，其中：</w:t>
      </w:r>
      <w:r>
        <w:rPr>
          <w:rFonts w:hint="eastAsia" w:eastAsia="方正仿宋_GBK"/>
          <w:color w:val="000000"/>
          <w:sz w:val="28"/>
          <w:lang w:val="en-US" w:eastAsia="zh-CN"/>
        </w:rPr>
        <w:t>副处级领导职务1，副处级非领导职务1人，</w:t>
      </w:r>
      <w:r>
        <w:rPr>
          <w:rFonts w:hint="eastAsia" w:eastAsia="方正仿宋_GBK"/>
          <w:color w:val="000000"/>
          <w:sz w:val="28"/>
        </w:rPr>
        <w:t>正科级领导职务2人、非领导职务2人；副科级领导职务</w:t>
      </w:r>
      <w:r>
        <w:rPr>
          <w:rFonts w:hint="eastAsia" w:eastAsia="方正仿宋_GBK"/>
          <w:color w:val="000000"/>
          <w:sz w:val="28"/>
          <w:lang w:val="en-US" w:eastAsia="zh-CN"/>
        </w:rPr>
        <w:t>0</w:t>
      </w:r>
      <w:r>
        <w:rPr>
          <w:rFonts w:hint="eastAsia" w:eastAsia="方正仿宋_GBK"/>
          <w:color w:val="000000"/>
          <w:sz w:val="28"/>
        </w:rPr>
        <w:t>人、非领导职务2人；科员</w:t>
      </w:r>
      <w:r>
        <w:rPr>
          <w:rFonts w:hint="eastAsia" w:eastAsia="方正仿宋_GBK"/>
          <w:color w:val="000000"/>
          <w:sz w:val="28"/>
          <w:lang w:val="en-US" w:eastAsia="zh-CN"/>
        </w:rPr>
        <w:t>2</w:t>
      </w:r>
      <w:r>
        <w:rPr>
          <w:rFonts w:hint="eastAsia" w:eastAsia="方正仿宋_GBK"/>
          <w:color w:val="000000"/>
          <w:sz w:val="28"/>
        </w:rPr>
        <w:t>人。</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rPr>
              <w:t>中国共产党涞水县委统战部</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7"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7"/>
    </w:p>
    <w:p>
      <w:pPr>
        <w:spacing w:line="520" w:lineRule="exact"/>
        <w:ind w:firstLine="560" w:firstLineChars="200"/>
        <w:rPr>
          <w:rFonts w:eastAsia="方正仿宋_GBK"/>
          <w:color w:val="000000"/>
          <w:sz w:val="28"/>
        </w:rPr>
      </w:pPr>
      <w:r>
        <w:rPr>
          <w:rFonts w:hint="eastAsia" w:eastAsia="方正仿宋_GBK"/>
          <w:color w:val="000000"/>
          <w:sz w:val="28"/>
          <w:lang w:eastAsia="zh-CN"/>
        </w:rPr>
        <w:t>（一）收入情况：2024年财政拨款收入总计</w:t>
      </w:r>
      <w:r>
        <w:rPr>
          <w:rFonts w:hint="eastAsia" w:eastAsia="方正仿宋_GBK"/>
          <w:color w:val="000000"/>
          <w:sz w:val="28"/>
          <w:lang w:val="en-US" w:eastAsia="zh-CN"/>
        </w:rPr>
        <w:t>290.17</w:t>
      </w:r>
      <w:r>
        <w:rPr>
          <w:rFonts w:hint="eastAsia" w:eastAsia="方正仿宋_GBK"/>
          <w:color w:val="000000"/>
          <w:sz w:val="28"/>
          <w:lang w:eastAsia="zh-CN"/>
        </w:rPr>
        <w:t>万元，其中一般公共预算拨款收入</w:t>
      </w:r>
      <w:r>
        <w:rPr>
          <w:rFonts w:hint="eastAsia" w:eastAsia="方正仿宋_GBK"/>
          <w:color w:val="000000"/>
          <w:sz w:val="28"/>
          <w:lang w:val="en-US" w:eastAsia="zh-CN"/>
        </w:rPr>
        <w:t>290.17</w:t>
      </w:r>
      <w:r>
        <w:rPr>
          <w:rFonts w:hint="eastAsia" w:eastAsia="方正仿宋_GBK"/>
          <w:color w:val="000000"/>
          <w:sz w:val="28"/>
          <w:lang w:eastAsia="zh-CN"/>
        </w:rPr>
        <w:t>万元，上年结转结余</w:t>
      </w:r>
      <w:r>
        <w:rPr>
          <w:rFonts w:hint="eastAsia" w:eastAsia="方正仿宋_GBK"/>
          <w:color w:val="000000"/>
          <w:sz w:val="28"/>
          <w:lang w:val="en-US" w:eastAsia="zh-CN"/>
        </w:rPr>
        <w:t>1.9</w:t>
      </w:r>
      <w:bookmarkStart w:id="24" w:name="_GoBack"/>
      <w:bookmarkEnd w:id="24"/>
      <w:r>
        <w:rPr>
          <w:rFonts w:hint="eastAsia" w:eastAsia="方正仿宋_GBK"/>
          <w:color w:val="000000"/>
          <w:sz w:val="28"/>
          <w:lang w:eastAsia="zh-CN"/>
        </w:rPr>
        <w:t>万元。</w:t>
      </w:r>
    </w:p>
    <w:p>
      <w:pPr>
        <w:spacing w:line="520" w:lineRule="exact"/>
        <w:ind w:firstLine="560" w:firstLineChars="200"/>
        <w:rPr>
          <w:rFonts w:eastAsia="方正仿宋_GBK"/>
          <w:color w:val="000000"/>
          <w:sz w:val="28"/>
        </w:rPr>
      </w:pPr>
      <w:r>
        <w:rPr>
          <w:rFonts w:hint="eastAsia" w:eastAsia="方正仿宋_GBK"/>
          <w:color w:val="000000"/>
          <w:sz w:val="28"/>
          <w:lang w:eastAsia="zh-CN"/>
        </w:rPr>
        <w:t>（二）支出情况：2024年总计</w:t>
      </w:r>
      <w:r>
        <w:rPr>
          <w:rFonts w:hint="eastAsia" w:eastAsia="方正仿宋_GBK"/>
          <w:color w:val="000000"/>
          <w:sz w:val="28"/>
          <w:lang w:val="en-US" w:eastAsia="zh-CN"/>
        </w:rPr>
        <w:t>290.17</w:t>
      </w:r>
      <w:r>
        <w:rPr>
          <w:rFonts w:hint="eastAsia" w:eastAsia="方正仿宋_GBK"/>
          <w:color w:val="000000"/>
          <w:sz w:val="28"/>
          <w:lang w:eastAsia="zh-CN"/>
        </w:rPr>
        <w:t>万元，其中:基本支出</w:t>
      </w:r>
      <w:r>
        <w:rPr>
          <w:rFonts w:hint="eastAsia" w:eastAsia="方正仿宋_GBK"/>
          <w:color w:val="000000"/>
          <w:sz w:val="28"/>
          <w:lang w:val="en-US" w:eastAsia="zh-CN"/>
        </w:rPr>
        <w:t>155.17</w:t>
      </w:r>
      <w:r>
        <w:rPr>
          <w:rFonts w:hint="eastAsia" w:eastAsia="方正仿宋_GBK"/>
          <w:color w:val="000000"/>
          <w:sz w:val="28"/>
          <w:lang w:eastAsia="zh-CN"/>
        </w:rPr>
        <w:t>万元（人员经费</w:t>
      </w:r>
      <w:r>
        <w:rPr>
          <w:rFonts w:hint="eastAsia" w:eastAsia="方正仿宋_GBK"/>
          <w:color w:val="000000"/>
          <w:sz w:val="28"/>
          <w:lang w:val="en-US" w:eastAsia="zh-CN"/>
        </w:rPr>
        <w:t>123.12</w:t>
      </w:r>
      <w:r>
        <w:rPr>
          <w:rFonts w:hint="eastAsia" w:eastAsia="方正仿宋_GBK"/>
          <w:color w:val="000000"/>
          <w:sz w:val="28"/>
          <w:lang w:eastAsia="zh-CN"/>
        </w:rPr>
        <w:t>万元、日常公用经费</w:t>
      </w:r>
      <w:r>
        <w:rPr>
          <w:rFonts w:hint="eastAsia" w:eastAsia="方正仿宋_GBK"/>
          <w:color w:val="000000"/>
          <w:sz w:val="28"/>
          <w:lang w:val="en-US" w:eastAsia="zh-CN"/>
        </w:rPr>
        <w:t>32.05</w:t>
      </w:r>
      <w:r>
        <w:rPr>
          <w:rFonts w:hint="eastAsia" w:eastAsia="方正仿宋_GBK"/>
          <w:color w:val="000000"/>
          <w:sz w:val="28"/>
          <w:lang w:eastAsia="zh-CN"/>
        </w:rPr>
        <w:t>万元）；项目支出</w:t>
      </w:r>
      <w:r>
        <w:rPr>
          <w:rFonts w:hint="eastAsia" w:eastAsia="方正仿宋_GBK"/>
          <w:color w:val="000000"/>
          <w:sz w:val="28"/>
          <w:lang w:val="en-US" w:eastAsia="zh-CN"/>
        </w:rPr>
        <w:t>136.90</w:t>
      </w:r>
      <w:r>
        <w:rPr>
          <w:rFonts w:hint="eastAsia" w:eastAsia="方正仿宋_GBK"/>
          <w:color w:val="000000"/>
          <w:sz w:val="28"/>
          <w:lang w:eastAsia="zh-CN"/>
        </w:rPr>
        <w:t>万元。</w:t>
      </w:r>
    </w:p>
    <w:p>
      <w:pPr>
        <w:spacing w:before="10" w:after="10" w:line="360" w:lineRule="auto"/>
        <w:ind w:firstLine="640"/>
        <w:outlineLvl w:val="2"/>
        <w:rPr>
          <w:rFonts w:hint="default" w:eastAsia="方正仿宋_GBK"/>
          <w:color w:val="000000"/>
          <w:sz w:val="28"/>
          <w:highlight w:val="none"/>
          <w:lang w:val="en-US" w:eastAsia="zh-CN"/>
        </w:rPr>
      </w:pPr>
      <w:r>
        <w:rPr>
          <w:rFonts w:hint="eastAsia" w:eastAsia="方正仿宋_GBK"/>
          <w:color w:val="000000"/>
          <w:sz w:val="28"/>
          <w:highlight w:val="none"/>
          <w:lang w:eastAsia="zh-CN"/>
        </w:rPr>
        <w:t>（三）比上年增减情况：2024年预算收支安排</w:t>
      </w:r>
      <w:r>
        <w:rPr>
          <w:rFonts w:hint="eastAsia" w:eastAsia="方正仿宋_GBK"/>
          <w:color w:val="000000"/>
          <w:sz w:val="28"/>
          <w:highlight w:val="none"/>
          <w:lang w:val="en-US" w:eastAsia="zh-CN"/>
        </w:rPr>
        <w:t>292.07</w:t>
      </w:r>
      <w:r>
        <w:rPr>
          <w:rFonts w:hint="eastAsia" w:eastAsia="方正仿宋_GBK"/>
          <w:color w:val="000000"/>
          <w:sz w:val="28"/>
          <w:highlight w:val="none"/>
          <w:lang w:eastAsia="zh-CN"/>
        </w:rPr>
        <w:t>万元，较上年度增加</w:t>
      </w:r>
      <w:r>
        <w:rPr>
          <w:rFonts w:hint="eastAsia" w:eastAsia="方正仿宋_GBK"/>
          <w:color w:val="000000"/>
          <w:sz w:val="28"/>
          <w:highlight w:val="none"/>
          <w:lang w:val="en-US" w:eastAsia="zh-CN"/>
        </w:rPr>
        <w:t>63.92</w:t>
      </w:r>
      <w:r>
        <w:rPr>
          <w:rFonts w:hint="eastAsia" w:eastAsia="方正仿宋_GBK"/>
          <w:color w:val="000000"/>
          <w:sz w:val="28"/>
          <w:highlight w:val="none"/>
          <w:lang w:eastAsia="zh-CN"/>
        </w:rPr>
        <w:t>万元。其中：基本支出</w:t>
      </w:r>
      <w:r>
        <w:rPr>
          <w:rFonts w:hint="eastAsia" w:eastAsia="方正仿宋_GBK"/>
          <w:color w:val="000000"/>
          <w:sz w:val="28"/>
          <w:highlight w:val="none"/>
          <w:lang w:val="en-US" w:eastAsia="zh-CN"/>
        </w:rPr>
        <w:t>292.07</w:t>
      </w:r>
      <w:r>
        <w:rPr>
          <w:rFonts w:hint="eastAsia" w:eastAsia="方正仿宋_GBK"/>
          <w:color w:val="000000"/>
          <w:sz w:val="28"/>
          <w:highlight w:val="none"/>
          <w:lang w:eastAsia="zh-CN"/>
        </w:rPr>
        <w:t>万元，较上年度增加</w:t>
      </w:r>
      <w:r>
        <w:rPr>
          <w:rFonts w:hint="eastAsia" w:eastAsia="方正仿宋_GBK"/>
          <w:color w:val="000000"/>
          <w:sz w:val="28"/>
          <w:highlight w:val="none"/>
          <w:lang w:val="en-US" w:eastAsia="zh-CN"/>
        </w:rPr>
        <w:t>63.92</w:t>
      </w:r>
      <w:r>
        <w:rPr>
          <w:rFonts w:hint="eastAsia" w:eastAsia="方正仿宋_GBK"/>
          <w:color w:val="000000"/>
          <w:sz w:val="28"/>
          <w:highlight w:val="none"/>
          <w:lang w:eastAsia="zh-CN"/>
        </w:rPr>
        <w:t>万元，</w:t>
      </w:r>
      <w:bookmarkStart w:id="8" w:name="_Toc_3_3_0000000012"/>
      <w:r>
        <w:rPr>
          <w:rFonts w:hint="eastAsia" w:eastAsia="方正仿宋_GBK"/>
          <w:color w:val="000000"/>
          <w:sz w:val="28"/>
          <w:highlight w:val="none"/>
          <w:lang w:val="en-US" w:eastAsia="zh-CN"/>
        </w:rPr>
        <w:t>其中：基本支出增加19.02万元，主要增加人员，项目支出增加44.90万元，主要是项目增加。</w:t>
      </w:r>
    </w:p>
    <w:p>
      <w:pPr>
        <w:spacing w:before="10" w:after="10" w:line="360" w:lineRule="auto"/>
        <w:ind w:firstLine="640"/>
        <w:outlineLvl w:val="2"/>
      </w:pPr>
      <w:r>
        <w:rPr>
          <w:rFonts w:ascii="黑体" w:hAnsi="黑体" w:eastAsia="黑体" w:cs="黑体"/>
          <w:color w:val="000000"/>
          <w:sz w:val="32"/>
        </w:rPr>
        <w:t>三、机关运行经费安排情况</w:t>
      </w:r>
      <w:bookmarkEnd w:id="8"/>
    </w:p>
    <w:p>
      <w:pPr>
        <w:spacing w:line="520" w:lineRule="exact"/>
        <w:ind w:firstLine="560" w:firstLineChars="200"/>
        <w:rPr>
          <w:rFonts w:eastAsia="方正仿宋_GBK"/>
          <w:color w:val="000000"/>
          <w:sz w:val="28"/>
        </w:rPr>
      </w:pPr>
      <w:r>
        <w:rPr>
          <w:rFonts w:hint="eastAsia" w:eastAsia="方正仿宋_GBK"/>
          <w:color w:val="000000"/>
          <w:sz w:val="28"/>
          <w:lang w:eastAsia="zh-CN"/>
        </w:rPr>
        <w:t>2024年机关运行经费安排合计</w:t>
      </w:r>
      <w:r>
        <w:rPr>
          <w:rFonts w:hint="eastAsia" w:eastAsia="方正仿宋_GBK"/>
          <w:color w:val="000000"/>
          <w:sz w:val="28"/>
          <w:lang w:val="en-US" w:eastAsia="zh-CN"/>
        </w:rPr>
        <w:t>32.05</w:t>
      </w:r>
      <w:r>
        <w:rPr>
          <w:rFonts w:hint="eastAsia" w:eastAsia="方正仿宋_GBK"/>
          <w:color w:val="000000"/>
          <w:sz w:val="28"/>
          <w:lang w:eastAsia="zh-CN"/>
        </w:rPr>
        <w:t>万元，含办公费</w:t>
      </w:r>
      <w:r>
        <w:rPr>
          <w:rFonts w:hint="eastAsia" w:eastAsia="方正仿宋_GBK"/>
          <w:color w:val="000000"/>
          <w:sz w:val="28"/>
          <w:lang w:val="en-US" w:eastAsia="zh-CN"/>
        </w:rPr>
        <w:t>7.42</w:t>
      </w:r>
      <w:r>
        <w:rPr>
          <w:rFonts w:hint="eastAsia" w:eastAsia="方正仿宋_GBK"/>
          <w:color w:val="000000"/>
          <w:sz w:val="28"/>
          <w:lang w:eastAsia="zh-CN"/>
        </w:rPr>
        <w:t>万元、邮电费0.36万元、差旅费1.</w:t>
      </w:r>
      <w:r>
        <w:rPr>
          <w:rFonts w:hint="eastAsia" w:eastAsia="方正仿宋_GBK"/>
          <w:color w:val="000000"/>
          <w:sz w:val="28"/>
          <w:lang w:val="en-US" w:eastAsia="zh-CN"/>
        </w:rPr>
        <w:t>1</w:t>
      </w:r>
      <w:r>
        <w:rPr>
          <w:rFonts w:hint="eastAsia" w:eastAsia="方正仿宋_GBK"/>
          <w:color w:val="000000"/>
          <w:sz w:val="28"/>
          <w:lang w:eastAsia="zh-CN"/>
        </w:rPr>
        <w:t>0万元、公务接待费4万元、工会经费</w:t>
      </w:r>
      <w:r>
        <w:rPr>
          <w:rFonts w:hint="eastAsia" w:eastAsia="方正仿宋_GBK"/>
          <w:color w:val="000000"/>
          <w:sz w:val="28"/>
          <w:lang w:val="en-US" w:eastAsia="zh-CN"/>
        </w:rPr>
        <w:t>1</w:t>
      </w:r>
      <w:r>
        <w:rPr>
          <w:rFonts w:hint="eastAsia" w:eastAsia="方正仿宋_GBK"/>
          <w:color w:val="000000"/>
          <w:sz w:val="28"/>
          <w:lang w:eastAsia="zh-CN"/>
        </w:rPr>
        <w:t>万元、公务用车运行维护费5万元、公务交通补贴</w:t>
      </w:r>
      <w:r>
        <w:rPr>
          <w:rFonts w:hint="eastAsia" w:eastAsia="方正仿宋_GBK"/>
          <w:color w:val="000000"/>
          <w:sz w:val="28"/>
          <w:lang w:val="en-US" w:eastAsia="zh-CN"/>
        </w:rPr>
        <w:t>7.14</w:t>
      </w:r>
      <w:r>
        <w:rPr>
          <w:rFonts w:hint="eastAsia" w:eastAsia="方正仿宋_GBK"/>
          <w:color w:val="000000"/>
          <w:sz w:val="28"/>
          <w:lang w:eastAsia="zh-CN"/>
        </w:rPr>
        <w:t>万元、离退休人员公用经费0.68万元、职工福利费2</w:t>
      </w:r>
      <w:r>
        <w:rPr>
          <w:rFonts w:hint="eastAsia" w:eastAsia="方正仿宋_GBK"/>
          <w:color w:val="000000"/>
          <w:sz w:val="28"/>
          <w:lang w:val="en-US" w:eastAsia="zh-CN"/>
        </w:rPr>
        <w:t>.85</w:t>
      </w:r>
      <w:r>
        <w:rPr>
          <w:rFonts w:hint="eastAsia" w:eastAsia="方正仿宋_GBK"/>
          <w:color w:val="000000"/>
          <w:sz w:val="28"/>
          <w:lang w:eastAsia="zh-CN"/>
        </w:rPr>
        <w:t>万元。</w:t>
      </w:r>
    </w:p>
    <w:p>
      <w:pPr>
        <w:pStyle w:val="23"/>
      </w:pPr>
    </w:p>
    <w:p>
      <w:pPr>
        <w:spacing w:before="10" w:after="10" w:line="360" w:lineRule="auto"/>
        <w:outlineLvl w:val="2"/>
        <w:rPr>
          <w:rFonts w:ascii="黑体" w:hAnsi="黑体" w:eastAsia="黑体" w:cs="黑体"/>
          <w:color w:val="000000"/>
          <w:sz w:val="32"/>
        </w:rPr>
      </w:pPr>
      <w:bookmarkStart w:id="9" w:name="_Toc_3_3_0000000013"/>
    </w:p>
    <w:p>
      <w:pPr>
        <w:spacing w:before="10" w:after="10" w:line="360" w:lineRule="auto"/>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rPr>
      </w:pPr>
      <w:r>
        <w:rPr>
          <w:rFonts w:hint="eastAsia" w:ascii="黑体" w:hAnsi="黑体" w:eastAsia="黑体" w:cs="黑体"/>
          <w:color w:val="000000"/>
          <w:sz w:val="32"/>
          <w:lang w:eastAsia="zh-CN"/>
        </w:rPr>
        <w:t>四、</w:t>
      </w:r>
      <w:r>
        <w:rPr>
          <w:rFonts w:ascii="黑体" w:hAnsi="黑体" w:eastAsia="黑体" w:cs="黑体"/>
          <w:color w:val="000000"/>
          <w:sz w:val="32"/>
        </w:rPr>
        <w:t>财政拨款“三公”经费预算情况及增减变化原因</w:t>
      </w:r>
      <w:bookmarkEnd w:id="9"/>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2024年财政拨款“三公”经费预算安排总计9万元,其中，因公出国经费0元；公务用车购置费0元，与上年度持平；公务用车运行经费5万元，与上年度持平；公务接待费4万元与上年度持平。</w:t>
      </w:r>
    </w:p>
    <w:tbl>
      <w:tblPr>
        <w:tblStyle w:val="8"/>
        <w:tblW w:w="0" w:type="auto"/>
        <w:jc w:val="center"/>
        <w:tblLayout w:type="fixed"/>
        <w:tblCellMar>
          <w:top w:w="0" w:type="dxa"/>
          <w:left w:w="108" w:type="dxa"/>
          <w:bottom w:w="0" w:type="dxa"/>
          <w:right w:w="108" w:type="dxa"/>
        </w:tblCellMar>
      </w:tblPr>
      <w:tblGrid>
        <w:gridCol w:w="2136"/>
        <w:gridCol w:w="1717"/>
        <w:gridCol w:w="1717"/>
        <w:gridCol w:w="1457"/>
        <w:gridCol w:w="4605"/>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457" w:type="dxa"/>
            <w:tcBorders>
              <w:top w:val="nil"/>
              <w:left w:val="nil"/>
              <w:bottom w:val="nil"/>
              <w:right w:val="nil"/>
            </w:tcBorders>
            <w:vAlign w:val="center"/>
          </w:tcPr>
          <w:p>
            <w:pPr>
              <w:rPr>
                <w:rFonts w:ascii="宋体" w:hAnsi="宋体" w:eastAsia="宋体" w:cs="宋体"/>
              </w:rPr>
            </w:pPr>
          </w:p>
        </w:tc>
        <w:tc>
          <w:tcPr>
            <w:tcW w:w="4605"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2024</w:t>
            </w:r>
            <w:r>
              <w:rPr>
                <w:rFonts w:hint="eastAsia" w:ascii="仿宋_GB2312" w:hAnsi="宋体" w:eastAsia="仿宋_GB2312"/>
              </w:rPr>
              <w:t>年度预算</w:t>
            </w:r>
          </w:p>
        </w:tc>
        <w:tc>
          <w:tcPr>
            <w:tcW w:w="145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60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rPr>
              <w:t>0</w:t>
            </w:r>
          </w:p>
        </w:tc>
        <w:tc>
          <w:tcPr>
            <w:tcW w:w="1457"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rPr>
              <w:t>0</w:t>
            </w:r>
          </w:p>
        </w:tc>
        <w:tc>
          <w:tcPr>
            <w:tcW w:w="4605"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lang w:eastAsia="zh-CN"/>
              </w:rPr>
              <w:t>0</w:t>
            </w:r>
          </w:p>
        </w:tc>
        <w:tc>
          <w:tcPr>
            <w:tcW w:w="1457"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lang w:eastAsia="zh-CN"/>
              </w:rPr>
              <w:t>0</w:t>
            </w:r>
          </w:p>
        </w:tc>
        <w:tc>
          <w:tcPr>
            <w:tcW w:w="4605"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rPr>
              <w:t>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rPr>
              <w:t>5</w:t>
            </w:r>
          </w:p>
        </w:tc>
        <w:tc>
          <w:tcPr>
            <w:tcW w:w="1457"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rPr>
              <w:t>0</w:t>
            </w:r>
          </w:p>
        </w:tc>
        <w:tc>
          <w:tcPr>
            <w:tcW w:w="4605"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rPr>
              <w:t>4</w:t>
            </w:r>
          </w:p>
        </w:tc>
        <w:tc>
          <w:tcPr>
            <w:tcW w:w="145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rPr>
              <w:t>0</w:t>
            </w:r>
          </w:p>
        </w:tc>
        <w:tc>
          <w:tcPr>
            <w:tcW w:w="4605"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lang w:eastAsia="zh-CN"/>
              </w:rPr>
              <w:t>9</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9</w:t>
            </w:r>
          </w:p>
        </w:tc>
        <w:tc>
          <w:tcPr>
            <w:tcW w:w="145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0</w:t>
            </w:r>
          </w:p>
        </w:tc>
        <w:tc>
          <w:tcPr>
            <w:tcW w:w="4605" w:type="dxa"/>
            <w:tcBorders>
              <w:top w:val="nil"/>
              <w:left w:val="nil"/>
              <w:bottom w:val="single" w:color="auto" w:sz="4" w:space="0"/>
              <w:right w:val="single" w:color="auto" w:sz="4" w:space="0"/>
            </w:tcBorders>
            <w:vAlign w:val="center"/>
          </w:tcPr>
          <w:p>
            <w:pPr>
              <w:jc w:val="center"/>
              <w:rPr>
                <w:rFonts w:ascii="仿宋_GB2312" w:hAnsi="宋体" w:eastAsia="仿宋_GB2312"/>
              </w:rPr>
            </w:pPr>
            <w:r>
              <w:rPr>
                <w:rFonts w:hint="eastAsia" w:ascii="仿宋_GB2312" w:hAnsi="宋体" w:eastAsia="仿宋_GB2312"/>
              </w:rPr>
              <w:t>无增减变化</w:t>
            </w:r>
          </w:p>
        </w:tc>
      </w:tr>
    </w:tbl>
    <w:p>
      <w:pPr>
        <w:spacing w:before="10" w:after="10" w:line="360" w:lineRule="auto"/>
        <w:ind w:firstLine="640"/>
        <w:outlineLvl w:val="2"/>
      </w:pPr>
      <w:bookmarkStart w:id="10" w:name="_Toc_3_3_0000000014"/>
      <w:r>
        <w:rPr>
          <w:rFonts w:ascii="黑体" w:hAnsi="黑体" w:eastAsia="黑体" w:cs="黑体"/>
          <w:color w:val="000000"/>
          <w:sz w:val="32"/>
        </w:rPr>
        <w:t>五、预算绩效信息</w:t>
      </w:r>
      <w:bookmarkEnd w:id="10"/>
    </w:p>
    <w:p>
      <w:pPr>
        <w:ind w:firstLine="643" w:firstLineChars="20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widowControl w:val="0"/>
        <w:spacing w:line="520" w:lineRule="exact"/>
        <w:ind w:firstLine="560" w:firstLineChars="200"/>
        <w:rPr>
          <w:rFonts w:eastAsia="方正仿宋_GBK"/>
          <w:sz w:val="28"/>
        </w:rPr>
      </w:pPr>
      <w:r>
        <w:rPr>
          <w:rFonts w:eastAsia="方正仿宋_GBK"/>
          <w:sz w:val="28"/>
        </w:rPr>
        <w:t>总体绩效目标</w:t>
      </w:r>
    </w:p>
    <w:p>
      <w:pPr>
        <w:widowControl w:val="0"/>
        <w:spacing w:line="520" w:lineRule="exact"/>
        <w:ind w:firstLine="560" w:firstLineChars="200"/>
        <w:rPr>
          <w:rFonts w:eastAsia="方正仿宋_GBK"/>
          <w:sz w:val="28"/>
        </w:rPr>
      </w:pPr>
      <w:r>
        <w:rPr>
          <w:rFonts w:eastAsia="方正仿宋_GBK"/>
          <w:sz w:val="28"/>
        </w:rPr>
        <w:t>坚持以习近平总书记关于加强和改进统一战线工作的重要思想为指导，深入学习贯彻党的十九届四中全会精神，以坚持大统战工作格局为牵引，在创新统战工作体制机制和解决统一战线领域突出问题上力争有所突破，为建设美丽涞水汇聚广泛的力量支持。</w:t>
      </w:r>
    </w:p>
    <w:p>
      <w:pPr>
        <w:widowControl w:val="0"/>
        <w:spacing w:line="520" w:lineRule="exact"/>
        <w:ind w:firstLine="560" w:firstLineChars="200"/>
        <w:rPr>
          <w:rFonts w:eastAsia="方正仿宋_GBK"/>
          <w:sz w:val="28"/>
        </w:rPr>
      </w:pPr>
      <w:r>
        <w:rPr>
          <w:rFonts w:eastAsia="方正仿宋_GBK"/>
          <w:sz w:val="28"/>
        </w:rPr>
        <w:t>建立及时掌握思想动态的工作机制。县委统战部定期不定期地同有关部门党委党组、高校党委、行业协会党组织进行协商，分析研判不同领域、不同群体党外知识分子的思想动态，有的放矢地确立教育和引导的主题，不断增强政治引领和思想引导的针对性和实效性。</w:t>
      </w:r>
    </w:p>
    <w:p>
      <w:pPr>
        <w:widowControl w:val="0"/>
        <w:spacing w:line="520" w:lineRule="exact"/>
        <w:ind w:firstLine="560" w:firstLineChars="200"/>
        <w:rPr>
          <w:rFonts w:eastAsia="方正仿宋_GBK"/>
          <w:sz w:val="28"/>
        </w:rPr>
      </w:pPr>
      <w:r>
        <w:rPr>
          <w:rFonts w:eastAsia="方正仿宋_GBK"/>
          <w:sz w:val="28"/>
        </w:rPr>
        <w:t>建立健全党外人士理论学习长效机制。在明确教育引导的主题后，各方面的党组织都以主题活动为牵引，不断把理论学习引向深入，引导广大统一战线成员不断增进对习近平新时代中国特色社会主义思想的政治认同、思想认同、情感认同。</w:t>
      </w:r>
    </w:p>
    <w:p>
      <w:pPr>
        <w:widowControl w:val="0"/>
        <w:spacing w:line="520" w:lineRule="exact"/>
        <w:ind w:firstLine="560" w:firstLineChars="200"/>
        <w:rPr>
          <w:rFonts w:eastAsia="方正仿宋_GBK"/>
          <w:sz w:val="28"/>
        </w:rPr>
      </w:pPr>
      <w:r>
        <w:rPr>
          <w:rFonts w:eastAsia="方正仿宋_GBK"/>
          <w:sz w:val="28"/>
        </w:rPr>
        <w:t>健全和完善对统一战线成员的政治培训机制。统战部门制定年度培训计划，逐步扩大政治培训的覆盖面，对党派成员和党外干部、分布在各行业和新的社会阶层中的党外知识分子、宗教界相关人士等进行培训。</w:t>
      </w:r>
    </w:p>
    <w:p>
      <w:pPr>
        <w:widowControl w:val="0"/>
        <w:spacing w:line="520" w:lineRule="exact"/>
        <w:ind w:firstLine="560" w:firstLineChars="200"/>
        <w:rPr>
          <w:rFonts w:eastAsia="方正仿宋_GBK"/>
          <w:sz w:val="28"/>
        </w:rPr>
      </w:pPr>
      <w:r>
        <w:rPr>
          <w:rFonts w:eastAsia="方正仿宋_GBK"/>
          <w:sz w:val="28"/>
        </w:rPr>
        <w:t>继续动员统一战线各方面资源、组织各方面力量，参与脱贫攻坚、参与新动能的培育、参与企业的转型升级，壮大推进高质量发展的力量。</w:t>
      </w:r>
    </w:p>
    <w:p>
      <w:pPr>
        <w:widowControl w:val="0"/>
        <w:spacing w:line="520" w:lineRule="exact"/>
        <w:ind w:firstLine="560" w:firstLineChars="200"/>
        <w:rPr>
          <w:rFonts w:eastAsia="方正仿宋_GBK"/>
          <w:sz w:val="28"/>
        </w:rPr>
      </w:pPr>
      <w:r>
        <w:rPr>
          <w:rFonts w:eastAsia="方正仿宋_GBK"/>
          <w:sz w:val="28"/>
        </w:rPr>
        <w:t>加强同不同领域、不同层面统一战线成员的协商，把各方面思想统一到县委决策部署上来。密切关注统一战线领域的思想动态，采取有效的方式方法，积极化解矛盾纠纷、理顺社会情绪、协调社会关系。</w:t>
      </w:r>
    </w:p>
    <w:p>
      <w:pPr>
        <w:spacing w:line="500" w:lineRule="exact"/>
        <w:ind w:firstLine="560"/>
      </w:pPr>
      <w:r>
        <w:rPr>
          <w:rFonts w:eastAsia="方正仿宋_GBK"/>
          <w:color w:val="000000"/>
          <w:sz w:val="28"/>
        </w:rPr>
        <w:t>（二）分项绩效目标</w:t>
      </w:r>
    </w:p>
    <w:p>
      <w:pPr>
        <w:pStyle w:val="27"/>
      </w:pPr>
      <w:r>
        <w:t>分项绩效目标</w:t>
      </w:r>
    </w:p>
    <w:p>
      <w:pPr>
        <w:pStyle w:val="27"/>
      </w:pPr>
      <w:r>
        <w:t>1、巩固多党合作，推动多党合作政治协商事业发展。</w:t>
      </w:r>
    </w:p>
    <w:p>
      <w:pPr>
        <w:pStyle w:val="27"/>
      </w:pPr>
      <w:r>
        <w:t>绩效目标：完善与各民主党派政治协商制度，制定年度政党协商计划，按时组织召开相关会议，联系各民主党派，通报情况、反映意见，推动多党合作政治协商事业发展。</w:t>
      </w:r>
    </w:p>
    <w:p>
      <w:pPr>
        <w:pStyle w:val="27"/>
      </w:pPr>
      <w:r>
        <w:t>绩效指标：年度内完成与各民主党派政治协商次数不低于3次。</w:t>
      </w:r>
    </w:p>
    <w:p>
      <w:pPr>
        <w:pStyle w:val="27"/>
      </w:pPr>
      <w:r>
        <w:t>2、促进非公有制经济健康发展和非公有制经济人士健康成长。</w:t>
      </w:r>
    </w:p>
    <w:p>
      <w:pPr>
        <w:pStyle w:val="27"/>
      </w:pPr>
      <w:r>
        <w:t>绩效目标：联系、培养民营经济代表人士，开展思想政治工作，适时召开民营经济领域统战工作会议或研讨会议、指导民营企业党组织做好企业内部统战工作。</w:t>
      </w:r>
    </w:p>
    <w:p>
      <w:pPr>
        <w:pStyle w:val="27"/>
      </w:pPr>
      <w:r>
        <w:t>绩效指标：完成并实施贯彻落实中央关于民营经济统战工作文件精神实施意见，举办政企沟通交流会次数不低于2次。</w:t>
      </w:r>
    </w:p>
    <w:p>
      <w:pPr>
        <w:pStyle w:val="27"/>
      </w:pPr>
      <w:r>
        <w:t>3、加强党外知识分子统战工作。</w:t>
      </w:r>
    </w:p>
    <w:p>
      <w:pPr>
        <w:pStyle w:val="27"/>
      </w:pPr>
      <w:r>
        <w:t>绩效目标：进一步加强与各领域的党外知识分子和新的社会阶层人士组织联谊交友，强化思想政治引领，创新工作方法，充分发挥作用。有重点地开展部分群体思想状况、关注重点、愿望期盼和利益诉求的调查研究。</w:t>
      </w:r>
    </w:p>
    <w:p>
      <w:pPr>
        <w:pStyle w:val="27"/>
      </w:pPr>
      <w:r>
        <w:t>绩效指标：定期不定期召集不同领域党外知识分子召开座谈、协商等会议不低于2次。调研了解各地各领域党外知识分子和新的社会阶层人士情况不低于3次。</w:t>
      </w:r>
    </w:p>
    <w:p>
      <w:pPr>
        <w:pStyle w:val="27"/>
      </w:pPr>
      <w:r>
        <w:t>4、加强党外代表人士队伍建设。</w:t>
      </w:r>
    </w:p>
    <w:p>
      <w:pPr>
        <w:pStyle w:val="27"/>
      </w:pPr>
      <w:r>
        <w:t>绩效目标：加强党外代表人士的发现培养工作，提高党外代表人士的实践能力、履职本领和参政议政水平。深化省领导与党外代表人士联谊交友活动，定期走访看望，谈心交流，主动解忧帮困，密切与各领域党外代表人士的联系。</w:t>
      </w:r>
    </w:p>
    <w:p>
      <w:pPr>
        <w:pStyle w:val="27"/>
      </w:pPr>
      <w:r>
        <w:t>绩效指标：加强与党外代表人士的联谊沟通，定期走访看望，谈心交流次数不低于2次。</w:t>
      </w:r>
    </w:p>
    <w:p>
      <w:pPr>
        <w:pStyle w:val="27"/>
      </w:pPr>
      <w:r>
        <w:t>5、推动侨务管理工作。</w:t>
      </w:r>
    </w:p>
    <w:p>
      <w:pPr>
        <w:pStyle w:val="27"/>
      </w:pPr>
      <w:r>
        <w:t>绩效目标：做好海外侨胞的基础性工作，摸清底数。解决贫困归侨侨眷生活困难，扶持创新创业，帮助脱贫致富。加强对侨务工作的调研，加强与海外华侨华人及社团的联系，开拓同海外侨界交流合作渠道，协调解决侨胞的各类问题诉求。</w:t>
      </w:r>
    </w:p>
    <w:p>
      <w:pPr>
        <w:pStyle w:val="27"/>
      </w:pPr>
      <w:r>
        <w:t>绩效指标：建立完善涞水县籍海外侨胞基本信息册，为扶贫救助、统战开展奠定基础。完成年度侨务工作调研不低于2次。救助和帮扶生活困难的归侨侨眷群体满意度达到90%以上。</w:t>
      </w:r>
    </w:p>
    <w:p>
      <w:pPr>
        <w:spacing w:line="500" w:lineRule="exact"/>
        <w:ind w:firstLine="560"/>
      </w:pPr>
      <w:r>
        <w:rPr>
          <w:rFonts w:eastAsia="方正仿宋_GBK"/>
          <w:color w:val="000000"/>
          <w:sz w:val="28"/>
        </w:rPr>
        <w:t>（三）工作保障措施</w:t>
      </w:r>
    </w:p>
    <w:p>
      <w:pPr>
        <w:widowControl w:val="0"/>
        <w:spacing w:line="520" w:lineRule="exact"/>
        <w:ind w:firstLine="560" w:firstLineChars="200"/>
        <w:rPr>
          <w:rFonts w:eastAsia="方正仿宋_GBK"/>
          <w:sz w:val="28"/>
        </w:rPr>
      </w:pPr>
      <w:r>
        <w:rPr>
          <w:rFonts w:eastAsia="方正仿宋_GBK"/>
          <w:sz w:val="28"/>
        </w:rPr>
        <w:t>工作保障措施</w:t>
      </w:r>
    </w:p>
    <w:p>
      <w:pPr>
        <w:widowControl w:val="0"/>
        <w:spacing w:line="520" w:lineRule="exact"/>
        <w:ind w:firstLine="560" w:firstLineChars="200"/>
        <w:rPr>
          <w:rFonts w:eastAsia="方正仿宋_GBK"/>
          <w:sz w:val="28"/>
        </w:rPr>
      </w:pPr>
      <w:r>
        <w:rPr>
          <w:rFonts w:eastAsia="方正仿宋_GBK"/>
          <w:sz w:val="28"/>
        </w:rPr>
        <w:t>1、加强组织领导。将事前评估、目标管理、运行监控、绩效评价、结果应用等各项改革措施，有效融入预算管理的全过程环节，建立健全统战领域预算绩效管理的路径和制度体系。成立由部主要领导同志任组长的预算绩效工作领导小组，分设多个业务小组，建立统筹协调、分工协作、密切配合、合力推进的工作机制。围绕年度总体绩效目标和分类绩效目标，细化工作方案，明确责任主体、实施进度要求，确保如期完成。</w:t>
      </w:r>
    </w:p>
    <w:p>
      <w:pPr>
        <w:widowControl w:val="0"/>
        <w:spacing w:line="520" w:lineRule="exact"/>
        <w:ind w:firstLine="560" w:firstLineChars="200"/>
        <w:rPr>
          <w:rFonts w:eastAsia="方正仿宋_GBK"/>
          <w:sz w:val="28"/>
        </w:rPr>
      </w:pPr>
      <w:r>
        <w:rPr>
          <w:rFonts w:eastAsia="方正仿宋_GBK"/>
          <w:sz w:val="28"/>
        </w:rPr>
        <w:t>2、强化预算编制。</w:t>
      </w:r>
      <w:r>
        <w:rPr>
          <w:rFonts w:hint="eastAsia" w:eastAsia="方正仿宋_GBK"/>
          <w:sz w:val="28"/>
          <w:lang w:eastAsia="zh-CN"/>
        </w:rPr>
        <w:t>2024</w:t>
      </w:r>
      <w:r>
        <w:rPr>
          <w:rFonts w:eastAsia="方正仿宋_GBK"/>
          <w:sz w:val="28"/>
        </w:rPr>
        <w:t>年度预算安排围绕部年度工作要点展开，坚持全面完整、科学规范、保证重点、绩效预算的原则，按照部门预算的要求，认真编制预算方案。做到有预算安排、有支出标准、有制度依据，维护预算的严肃性和权威性。严格按《</w:t>
      </w:r>
      <w:r>
        <w:rPr>
          <w:rFonts w:hint="eastAsia" w:eastAsia="方正仿宋_GBK"/>
          <w:sz w:val="28"/>
          <w:lang w:eastAsia="zh-CN"/>
        </w:rPr>
        <w:t>中华人民共和国</w:t>
      </w:r>
      <w:r>
        <w:rPr>
          <w:rFonts w:eastAsia="方正仿宋_GBK"/>
          <w:sz w:val="28"/>
        </w:rPr>
        <w:t>预算法》的规定，进一步做细、做实、做准预算，为预算执行打下良好基础，提高预算到位率，切实把预算细化到部门，细化到基层单位，细化到具体项目。</w:t>
      </w:r>
    </w:p>
    <w:p>
      <w:pPr>
        <w:widowControl w:val="0"/>
        <w:spacing w:line="520" w:lineRule="exact"/>
        <w:ind w:firstLine="560" w:firstLineChars="200"/>
        <w:rPr>
          <w:rFonts w:eastAsia="方正仿宋_GBK"/>
          <w:sz w:val="28"/>
        </w:rPr>
      </w:pPr>
      <w:r>
        <w:rPr>
          <w:rFonts w:eastAsia="方正仿宋_GBK"/>
          <w:sz w:val="28"/>
        </w:rPr>
        <w:t>3、狠抓任务落实。强化财政预算执行的刚性约束，按照“谁花钱、谁负责，谁牵总、谁主责”的原则，明确业务处室（单位）预算绩效管理职责。按照省财政厅预算经费支出进度要求，每月将支出进度分发到处室，每季度形成一份经费支出分析报告，提交部领导审阅，督促业务处室（单位）及时启动项目和支付资金，加快履行政府采购程序，优化部门预算支出结构，创新财政资金支出思路，合理改进支出方式，确保按照时间节点完成支出任务。</w:t>
      </w:r>
    </w:p>
    <w:p>
      <w:pPr>
        <w:widowControl w:val="0"/>
        <w:spacing w:line="520" w:lineRule="exact"/>
        <w:ind w:firstLine="560" w:firstLineChars="200"/>
        <w:rPr>
          <w:rFonts w:eastAsia="方正仿宋_GBK"/>
          <w:sz w:val="28"/>
        </w:rPr>
      </w:pPr>
      <w:r>
        <w:rPr>
          <w:rFonts w:eastAsia="方正仿宋_GBK"/>
          <w:sz w:val="28"/>
        </w:rPr>
        <w:t>4、规范资产管理。不断加强资产管理，财务对应记入固定资产的报销，督促经办人及时进行固定资产登记，并定期与使用部门进行核对，确保</w:t>
      </w:r>
      <w:r>
        <w:rPr>
          <w:rFonts w:hint="eastAsia" w:eastAsia="方正仿宋_GBK"/>
          <w:sz w:val="28"/>
        </w:rPr>
        <w:t>账实相符</w:t>
      </w:r>
      <w:r>
        <w:rPr>
          <w:rFonts w:eastAsia="方正仿宋_GBK"/>
          <w:sz w:val="28"/>
        </w:rPr>
        <w:t>。定期开展清查盘点，核实清理资产，盘活存量资源，合理配置部内资产，及时发现和堵塞管理中的漏洞，妥善处理和解决管理中出现的各种问题，进一步努力提高资产使用效益。修订完善资产管理制度，建立部领导和各处室、各单位负责人的经济责任制，以及财务主管、财务人员的经济责任制，构建多层次的经济责任体系，将资产管理工作的任务和责任层层分解落实到每一个人。</w:t>
      </w:r>
    </w:p>
    <w:p>
      <w:pPr>
        <w:widowControl w:val="0"/>
        <w:spacing w:line="520" w:lineRule="exact"/>
        <w:ind w:firstLine="560" w:firstLineChars="200"/>
        <w:rPr>
          <w:rFonts w:eastAsia="方正仿宋_GBK"/>
          <w:sz w:val="28"/>
        </w:rPr>
      </w:pPr>
      <w:r>
        <w:rPr>
          <w:rFonts w:eastAsia="方正仿宋_GBK"/>
          <w:sz w:val="28"/>
        </w:rPr>
        <w:t>5、健全评价机制。建立健全部门绩效预算评价机制。按照省委省政府《关于全面实施预算绩效管理的实施意见》（冀发〔2018〕54号）要求，采取定量分析、定性分析和综合分析判读相结合的绩效评价办法，组织本部门及所属单位对年度项目资金预算执行情况开展绩效自评，并对照年初设定的绩效目标，及时对政策和项目资金支出的经济性、效率性、效益性以及绩效目标的实现程度进行全方位评价，及时发现实施中存在的问题，并研究解决对策。</w:t>
      </w:r>
    </w:p>
    <w:p>
      <w:pPr>
        <w:widowControl w:val="0"/>
        <w:spacing w:line="520" w:lineRule="exact"/>
        <w:ind w:firstLine="560" w:firstLineChars="200"/>
        <w:rPr>
          <w:rFonts w:eastAsia="方正仿宋_GBK"/>
          <w:sz w:val="28"/>
        </w:rPr>
      </w:pPr>
      <w:r>
        <w:rPr>
          <w:rFonts w:eastAsia="方正仿宋_GBK"/>
          <w:sz w:val="28"/>
        </w:rPr>
        <w:t>6、加强内部监督。建立健全内部控制为核心、实现不同岗位的内部牵制制度，充分发挥内控体系在明确权责方面的重要作用。进一步完善内控监督制度，有效行使内控体系的监督评价职责，促进内控体系的不断完善，规范权力运行，提高单位管理服务水平。加强预算资金事前、事中、事后的全方位监管，注重资金支出绩效，最大限度的发挥财政资金效益。对预算执行绩效情况进行跟踪监控，及时掌握各项目承担处室（单位）的项目实施进展、资金拨付和有关绩效指标完成情况，确保绩效目标实现。</w:t>
      </w:r>
    </w:p>
    <w:p>
      <w:pPr>
        <w:widowControl w:val="0"/>
        <w:spacing w:line="520" w:lineRule="exact"/>
        <w:ind w:firstLine="560" w:firstLineChars="200"/>
        <w:rPr>
          <w:rFonts w:eastAsia="方正仿宋_GBK"/>
          <w:sz w:val="28"/>
        </w:rPr>
      </w:pPr>
      <w:r>
        <w:rPr>
          <w:rFonts w:eastAsia="方正仿宋_GBK"/>
          <w:sz w:val="28"/>
        </w:rPr>
        <w:t>7、强化宣传引导。组织开展多轮次、多角度的业务培训，使全部干部职工中牢固树立绩效理念，熟悉管理流程，掌握工作方法，提升管理能力。各处室（单位）要探索工作经验，及时总结统战系统预算绩效管理成效，营造良好的舆论氛围。积极采取购买服务等方式，利用专业机构、高等院校力量开展工作，提升预算绩效管理科学水平。</w:t>
      </w:r>
    </w:p>
    <w:p>
      <w:pPr>
        <w:widowControl w:val="0"/>
        <w:spacing w:line="520" w:lineRule="exact"/>
        <w:ind w:firstLine="560" w:firstLineChars="200"/>
        <w:rPr>
          <w:rFonts w:eastAsia="方正仿宋_GBK"/>
          <w:sz w:val="28"/>
        </w:rPr>
      </w:pPr>
    </w:p>
    <w:p>
      <w:pPr>
        <w:widowControl w:val="0"/>
        <w:spacing w:line="520" w:lineRule="exact"/>
        <w:ind w:firstLine="560" w:firstLineChars="200"/>
        <w:rPr>
          <w:rFonts w:eastAsia="方正仿宋_GBK"/>
          <w:sz w:val="28"/>
        </w:rPr>
      </w:pPr>
    </w:p>
    <w:p>
      <w:pPr>
        <w:widowControl w:val="0"/>
        <w:spacing w:line="520" w:lineRule="exact"/>
        <w:ind w:firstLine="560" w:firstLineChars="200"/>
        <w:rPr>
          <w:rFonts w:eastAsia="方正仿宋_GBK"/>
          <w:sz w:val="28"/>
        </w:rPr>
      </w:pPr>
    </w:p>
    <w:p>
      <w:pPr>
        <w:widowControl w:val="0"/>
        <w:spacing w:line="520" w:lineRule="exact"/>
        <w:ind w:firstLine="560" w:firstLineChars="200"/>
        <w:rPr>
          <w:rFonts w:eastAsia="方正仿宋_GBK"/>
          <w:sz w:val="28"/>
        </w:rPr>
      </w:pPr>
    </w:p>
    <w:p>
      <w:pPr>
        <w:widowControl w:val="0"/>
        <w:spacing w:line="520" w:lineRule="exact"/>
        <w:ind w:firstLine="560" w:firstLineChars="200"/>
        <w:rPr>
          <w:rFonts w:eastAsia="方正仿宋_GBK"/>
          <w:sz w:val="28"/>
        </w:rPr>
      </w:pPr>
    </w:p>
    <w:p>
      <w:pPr>
        <w:widowControl w:val="0"/>
        <w:spacing w:line="520" w:lineRule="exact"/>
        <w:rPr>
          <w:rFonts w:eastAsia="方正仿宋_GBK"/>
          <w:sz w:val="28"/>
        </w:rPr>
      </w:pPr>
    </w:p>
    <w:p>
      <w:pPr>
        <w:widowControl w:val="0"/>
        <w:spacing w:line="520" w:lineRule="exact"/>
        <w:rPr>
          <w:rFonts w:eastAsia="方正仿宋_GBK"/>
          <w:sz w:val="28"/>
        </w:rPr>
      </w:pPr>
    </w:p>
    <w:p/>
    <w:p>
      <w:pPr>
        <w:ind w:firstLine="643" w:firstLineChars="200"/>
      </w:pPr>
      <w:r>
        <w:rPr>
          <w:rFonts w:hint="eastAsia" w:ascii="方正楷体_GBK" w:hAnsi="方正楷体_GBK" w:eastAsia="方正楷体_GBK" w:cs="方正楷体_GBK"/>
          <w:b/>
          <w:color w:val="000000"/>
          <w:sz w:val="32"/>
          <w:lang w:eastAsia="zh-CN"/>
        </w:rPr>
        <w:t>第二部分</w:t>
      </w:r>
      <w:r>
        <w:rPr>
          <w:rFonts w:ascii="方正楷体_GBK" w:hAnsi="方正楷体_GBK" w:eastAsia="方正楷体_GBK" w:cs="方正楷体_GBK"/>
          <w:b/>
          <w:color w:val="000000"/>
          <w:sz w:val="32"/>
        </w:rPr>
        <w:t>预算项目绩效目标</w:t>
      </w:r>
    </w:p>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bookmarkStart w:id="11" w:name="_Toc_3_3_0000000015"/>
            <w:r>
              <w:t>213001中国共产党涞水县委员会统战部本级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13062323P00935710003B</w:t>
            </w:r>
          </w:p>
        </w:tc>
        <w:tc>
          <w:tcPr>
            <w:tcW w:w="1587" w:type="dxa"/>
            <w:vAlign w:val="center"/>
          </w:tcPr>
          <w:p>
            <w:pPr>
              <w:pStyle w:val="14"/>
            </w:pPr>
            <w:r>
              <w:t>项目名称</w:t>
            </w:r>
          </w:p>
        </w:tc>
        <w:tc>
          <w:tcPr>
            <w:tcW w:w="4422" w:type="dxa"/>
            <w:gridSpan w:val="3"/>
            <w:vAlign w:val="center"/>
          </w:tcPr>
          <w:p>
            <w:pPr>
              <w:pStyle w:val="16"/>
            </w:pPr>
            <w:r>
              <w:t>2023年省级少数民族发展资金（冀财行[2022]101号）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1.90</w:t>
            </w:r>
          </w:p>
        </w:tc>
        <w:tc>
          <w:tcPr>
            <w:tcW w:w="1587" w:type="dxa"/>
            <w:vAlign w:val="center"/>
          </w:tcPr>
          <w:p>
            <w:pPr>
              <w:pStyle w:val="14"/>
            </w:pPr>
            <w:r>
              <w:t>其中：财政    资金</w:t>
            </w:r>
          </w:p>
        </w:tc>
        <w:tc>
          <w:tcPr>
            <w:tcW w:w="1304" w:type="dxa"/>
            <w:vAlign w:val="center"/>
          </w:tcPr>
          <w:p>
            <w:pPr>
              <w:pStyle w:val="16"/>
            </w:pPr>
            <w:r>
              <w:t>1.90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用于少数民族特色村寨建设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0.40</w:t>
            </w:r>
          </w:p>
        </w:tc>
        <w:tc>
          <w:tcPr>
            <w:tcW w:w="1304" w:type="dxa"/>
            <w:vAlign w:val="center"/>
          </w:tcPr>
          <w:p>
            <w:pPr>
              <w:pStyle w:val="17"/>
            </w:pPr>
            <w:r>
              <w:t>0.50</w:t>
            </w:r>
          </w:p>
        </w:tc>
        <w:tc>
          <w:tcPr>
            <w:tcW w:w="3118" w:type="dxa"/>
            <w:gridSpan w:val="2"/>
            <w:vAlign w:val="center"/>
          </w:tcPr>
          <w:p>
            <w:pPr>
              <w:pStyle w:val="17"/>
            </w:pPr>
            <w:r>
              <w:t>1.90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执行公开率</w:t>
            </w:r>
          </w:p>
        </w:tc>
        <w:tc>
          <w:tcPr>
            <w:tcW w:w="2891" w:type="dxa"/>
            <w:vAlign w:val="center"/>
          </w:tcPr>
          <w:p>
            <w:pPr>
              <w:pStyle w:val="16"/>
            </w:pPr>
            <w:r>
              <w:t>执行公开率</w:t>
            </w:r>
          </w:p>
        </w:tc>
        <w:tc>
          <w:tcPr>
            <w:tcW w:w="1276" w:type="dxa"/>
            <w:vAlign w:val="center"/>
          </w:tcPr>
          <w:p>
            <w:pPr>
              <w:pStyle w:val="16"/>
            </w:pPr>
            <w:r>
              <w:t>≥100百分比</w:t>
            </w:r>
          </w:p>
        </w:tc>
        <w:tc>
          <w:tcPr>
            <w:tcW w:w="1843" w:type="dxa"/>
            <w:vAlign w:val="center"/>
          </w:tcPr>
          <w:p>
            <w:pPr>
              <w:pStyle w:val="16"/>
            </w:pPr>
            <w:r>
              <w:t>项目资金请示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工程完成</w:t>
            </w:r>
          </w:p>
        </w:tc>
        <w:tc>
          <w:tcPr>
            <w:tcW w:w="2891" w:type="dxa"/>
            <w:vAlign w:val="center"/>
          </w:tcPr>
          <w:p>
            <w:pPr>
              <w:pStyle w:val="16"/>
            </w:pPr>
            <w:r>
              <w:t>工程完成率</w:t>
            </w:r>
          </w:p>
        </w:tc>
        <w:tc>
          <w:tcPr>
            <w:tcW w:w="1276" w:type="dxa"/>
            <w:vAlign w:val="center"/>
          </w:tcPr>
          <w:p>
            <w:pPr>
              <w:pStyle w:val="16"/>
            </w:pPr>
            <w:r>
              <w:t>100百分比</w:t>
            </w:r>
          </w:p>
        </w:tc>
        <w:tc>
          <w:tcPr>
            <w:tcW w:w="1843" w:type="dxa"/>
            <w:vAlign w:val="center"/>
          </w:tcPr>
          <w:p>
            <w:pPr>
              <w:pStyle w:val="16"/>
            </w:pPr>
            <w:r>
              <w:t>项目资金请示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完成及时率</w:t>
            </w:r>
          </w:p>
        </w:tc>
        <w:tc>
          <w:tcPr>
            <w:tcW w:w="2891" w:type="dxa"/>
            <w:vAlign w:val="center"/>
          </w:tcPr>
          <w:p>
            <w:pPr>
              <w:pStyle w:val="16"/>
            </w:pPr>
            <w:r>
              <w:t>完成及时率</w:t>
            </w:r>
          </w:p>
        </w:tc>
        <w:tc>
          <w:tcPr>
            <w:tcW w:w="1276" w:type="dxa"/>
            <w:vAlign w:val="center"/>
          </w:tcPr>
          <w:p>
            <w:pPr>
              <w:pStyle w:val="16"/>
            </w:pPr>
            <w:r>
              <w:t>≥100百分比</w:t>
            </w:r>
          </w:p>
        </w:tc>
        <w:tc>
          <w:tcPr>
            <w:tcW w:w="1843" w:type="dxa"/>
            <w:vAlign w:val="center"/>
          </w:tcPr>
          <w:p>
            <w:pPr>
              <w:pStyle w:val="16"/>
            </w:pPr>
            <w:r>
              <w:t>项目资金请示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财政投入</w:t>
            </w:r>
          </w:p>
        </w:tc>
        <w:tc>
          <w:tcPr>
            <w:tcW w:w="2891" w:type="dxa"/>
            <w:vAlign w:val="center"/>
          </w:tcPr>
          <w:p>
            <w:pPr>
              <w:pStyle w:val="16"/>
            </w:pPr>
            <w:r>
              <w:t>财政投入</w:t>
            </w:r>
          </w:p>
        </w:tc>
        <w:tc>
          <w:tcPr>
            <w:tcW w:w="1276" w:type="dxa"/>
            <w:vAlign w:val="center"/>
          </w:tcPr>
          <w:p>
            <w:pPr>
              <w:pStyle w:val="16"/>
            </w:pPr>
            <w:r>
              <w:t>≤100百分比</w:t>
            </w:r>
          </w:p>
        </w:tc>
        <w:tc>
          <w:tcPr>
            <w:tcW w:w="1843" w:type="dxa"/>
            <w:vAlign w:val="center"/>
          </w:tcPr>
          <w:p>
            <w:pPr>
              <w:pStyle w:val="16"/>
            </w:pPr>
            <w:r>
              <w:t>项目资金请示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对促进民族团结的作用</w:t>
            </w:r>
          </w:p>
        </w:tc>
        <w:tc>
          <w:tcPr>
            <w:tcW w:w="2891" w:type="dxa"/>
            <w:vAlign w:val="center"/>
          </w:tcPr>
          <w:p>
            <w:pPr>
              <w:pStyle w:val="16"/>
            </w:pPr>
            <w:r>
              <w:t>促进民族团结推动经济发展</w:t>
            </w:r>
          </w:p>
        </w:tc>
        <w:tc>
          <w:tcPr>
            <w:tcW w:w="1276" w:type="dxa"/>
            <w:vAlign w:val="center"/>
          </w:tcPr>
          <w:p>
            <w:pPr>
              <w:pStyle w:val="16"/>
            </w:pPr>
            <w:r>
              <w:t>≥100百分比</w:t>
            </w:r>
          </w:p>
        </w:tc>
        <w:tc>
          <w:tcPr>
            <w:tcW w:w="1843" w:type="dxa"/>
            <w:vAlign w:val="center"/>
          </w:tcPr>
          <w:p>
            <w:pPr>
              <w:pStyle w:val="16"/>
            </w:pPr>
            <w:r>
              <w:t>项目资金请示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≥90百分比</w:t>
            </w:r>
          </w:p>
        </w:tc>
        <w:tc>
          <w:tcPr>
            <w:tcW w:w="1843" w:type="dxa"/>
            <w:vAlign w:val="center"/>
          </w:tcPr>
          <w:p>
            <w:pPr>
              <w:pStyle w:val="16"/>
            </w:pPr>
            <w:r>
              <w:t>项目资金请示</w:t>
            </w:r>
          </w:p>
        </w:tc>
      </w:tr>
    </w:tbl>
    <w:p>
      <w:pPr>
        <w:ind w:firstLine="560"/>
        <w:rPr>
          <w:rFonts w:ascii="方正仿宋_GBK" w:hAnsi="方正仿宋_GBK" w:eastAsia="方正仿宋_GBK" w:cs="方正仿宋_GBK"/>
          <w:b/>
          <w:color w:val="000000"/>
          <w:sz w:val="28"/>
        </w:rPr>
      </w:pPr>
    </w:p>
    <w:p>
      <w:pPr>
        <w:ind w:firstLine="560"/>
        <w:outlineLvl w:val="3"/>
        <w:rPr>
          <w:rFonts w:hint="eastAsia" w:ascii="方正仿宋_GBK" w:hAnsi="方正仿宋_GBK" w:eastAsia="方正仿宋_GBK" w:cs="方正仿宋_GBK"/>
          <w:color w:val="000000"/>
          <w:sz w:val="28"/>
          <w:lang w:eastAsia="zh-CN"/>
        </w:rPr>
      </w:pPr>
      <w:bookmarkStart w:id="12" w:name="_Toc_4_4_0000000005"/>
    </w:p>
    <w:p>
      <w:pPr>
        <w:ind w:firstLine="560"/>
        <w:outlineLvl w:val="3"/>
        <w:rPr>
          <w:rFonts w:hint="eastAsia"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2.法律顾问费绩效目标表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213001中国共产党涞水县委员会统战部本级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13062324P000001100519</w:t>
            </w:r>
          </w:p>
        </w:tc>
        <w:tc>
          <w:tcPr>
            <w:tcW w:w="1587" w:type="dxa"/>
            <w:vAlign w:val="center"/>
          </w:tcPr>
          <w:p>
            <w:pPr>
              <w:pStyle w:val="14"/>
            </w:pPr>
            <w:r>
              <w:t>项目名称</w:t>
            </w:r>
          </w:p>
        </w:tc>
        <w:tc>
          <w:tcPr>
            <w:tcW w:w="4422" w:type="dxa"/>
            <w:gridSpan w:val="3"/>
            <w:vAlign w:val="center"/>
          </w:tcPr>
          <w:p>
            <w:pPr>
              <w:pStyle w:val="16"/>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w:t>
            </w:r>
          </w:p>
        </w:tc>
        <w:tc>
          <w:tcPr>
            <w:tcW w:w="1587" w:type="dxa"/>
            <w:vAlign w:val="center"/>
          </w:tcPr>
          <w:p>
            <w:pPr>
              <w:pStyle w:val="14"/>
            </w:pPr>
            <w:r>
              <w:t>其中：财政    资金</w:t>
            </w:r>
          </w:p>
        </w:tc>
        <w:tc>
          <w:tcPr>
            <w:tcW w:w="1304" w:type="dxa"/>
            <w:vAlign w:val="center"/>
          </w:tcPr>
          <w:p>
            <w:pPr>
              <w:pStyle w:val="16"/>
            </w:pPr>
            <w:r>
              <w:t>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1.00</w:t>
            </w:r>
          </w:p>
        </w:tc>
        <w:tc>
          <w:tcPr>
            <w:tcW w:w="1304" w:type="dxa"/>
            <w:vAlign w:val="center"/>
          </w:tcPr>
          <w:p>
            <w:pPr>
              <w:pStyle w:val="17"/>
            </w:pPr>
            <w:r>
              <w:t>1.50</w:t>
            </w:r>
          </w:p>
        </w:tc>
        <w:tc>
          <w:tcPr>
            <w:tcW w:w="3118" w:type="dxa"/>
            <w:gridSpan w:val="2"/>
            <w:vAlign w:val="center"/>
          </w:tcPr>
          <w:p>
            <w:pPr>
              <w:pStyle w:val="1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1.内容目标1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执行公开率</w:t>
            </w:r>
          </w:p>
        </w:tc>
        <w:tc>
          <w:tcPr>
            <w:tcW w:w="2891" w:type="dxa"/>
            <w:vAlign w:val="center"/>
          </w:tcPr>
          <w:p>
            <w:pPr>
              <w:pStyle w:val="16"/>
            </w:pPr>
            <w:r>
              <w:t>执行公开率</w:t>
            </w:r>
          </w:p>
        </w:tc>
        <w:tc>
          <w:tcPr>
            <w:tcW w:w="1276" w:type="dxa"/>
            <w:vAlign w:val="center"/>
          </w:tcPr>
          <w:p>
            <w:pPr>
              <w:pStyle w:val="16"/>
            </w:pPr>
            <w:r>
              <w:t>≥100百分比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设立法律顾问</w:t>
            </w:r>
          </w:p>
        </w:tc>
        <w:tc>
          <w:tcPr>
            <w:tcW w:w="2891" w:type="dxa"/>
            <w:vAlign w:val="center"/>
          </w:tcPr>
          <w:p>
            <w:pPr>
              <w:pStyle w:val="16"/>
            </w:pPr>
            <w:r>
              <w:t>设立法律顾问</w:t>
            </w:r>
          </w:p>
        </w:tc>
        <w:tc>
          <w:tcPr>
            <w:tcW w:w="1276" w:type="dxa"/>
            <w:vAlign w:val="center"/>
          </w:tcPr>
          <w:p>
            <w:pPr>
              <w:pStyle w:val="16"/>
            </w:pPr>
            <w:r>
              <w:t>≥1人</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法律咨询办理效率</w:t>
            </w:r>
          </w:p>
        </w:tc>
        <w:tc>
          <w:tcPr>
            <w:tcW w:w="2891" w:type="dxa"/>
            <w:vAlign w:val="center"/>
          </w:tcPr>
          <w:p>
            <w:pPr>
              <w:pStyle w:val="16"/>
            </w:pPr>
            <w:r>
              <w:t>法律咨询办理效率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财政投入</w:t>
            </w:r>
          </w:p>
        </w:tc>
        <w:tc>
          <w:tcPr>
            <w:tcW w:w="2891" w:type="dxa"/>
            <w:vAlign w:val="center"/>
          </w:tcPr>
          <w:p>
            <w:pPr>
              <w:pStyle w:val="16"/>
            </w:pPr>
            <w:r>
              <w:t>财政投入</w:t>
            </w:r>
          </w:p>
        </w:tc>
        <w:tc>
          <w:tcPr>
            <w:tcW w:w="1276" w:type="dxa"/>
            <w:vAlign w:val="center"/>
          </w:tcPr>
          <w:p>
            <w:pPr>
              <w:pStyle w:val="16"/>
            </w:pPr>
            <w:r>
              <w:t>≥100百分比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法律援助案件办结率(%)</w:t>
            </w:r>
          </w:p>
        </w:tc>
        <w:tc>
          <w:tcPr>
            <w:tcW w:w="2891" w:type="dxa"/>
            <w:vAlign w:val="center"/>
          </w:tcPr>
          <w:p>
            <w:pPr>
              <w:pStyle w:val="16"/>
            </w:pPr>
            <w:r>
              <w:t>法律援助案件办结率(%)</w:t>
            </w:r>
          </w:p>
        </w:tc>
        <w:tc>
          <w:tcPr>
            <w:tcW w:w="1276" w:type="dxa"/>
            <w:vAlign w:val="center"/>
          </w:tcPr>
          <w:p>
            <w:pPr>
              <w:pStyle w:val="16"/>
            </w:pPr>
            <w:r>
              <w:t>≥100百分比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≥90百分比</w:t>
            </w:r>
          </w:p>
        </w:tc>
        <w:tc>
          <w:tcPr>
            <w:tcW w:w="1843" w:type="dxa"/>
            <w:vAlign w:val="center"/>
          </w:tcPr>
          <w:p>
            <w:pPr>
              <w:pStyle w:val="16"/>
            </w:pPr>
            <w:r>
              <w:t>工作方案</w:t>
            </w:r>
          </w:p>
        </w:tc>
      </w:tr>
    </w:tbl>
    <w:p>
      <w:pPr>
        <w:sectPr>
          <w:pgSz w:w="16840" w:h="11900" w:orient="landscape"/>
          <w:pgMar w:top="1304" w:right="1984" w:bottom="1304" w:left="1134" w:header="720" w:footer="720" w:gutter="0"/>
          <w:cols w:space="720" w:num="1"/>
        </w:sectPr>
      </w:pPr>
    </w:p>
    <w:p>
      <w:pPr>
        <w:ind w:firstLine="560"/>
        <w:outlineLvl w:val="3"/>
      </w:pPr>
      <w:bookmarkStart w:id="13" w:name="_Toc_4_4_0000000006"/>
      <w:r>
        <w:rPr>
          <w:rFonts w:ascii="方正仿宋_GBK" w:hAnsi="方正仿宋_GBK" w:eastAsia="方正仿宋_GBK" w:cs="方正仿宋_GBK"/>
          <w:color w:val="000000"/>
          <w:sz w:val="28"/>
        </w:rPr>
        <w:t>3.工商联工作经费绩效目标表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213001中国共产党涞水县委员会统战部本级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13062324P00000110049A</w:t>
            </w:r>
          </w:p>
        </w:tc>
        <w:tc>
          <w:tcPr>
            <w:tcW w:w="1587" w:type="dxa"/>
            <w:vAlign w:val="center"/>
          </w:tcPr>
          <w:p>
            <w:pPr>
              <w:pStyle w:val="14"/>
            </w:pPr>
            <w:r>
              <w:t>项目名称</w:t>
            </w:r>
          </w:p>
        </w:tc>
        <w:tc>
          <w:tcPr>
            <w:tcW w:w="4422" w:type="dxa"/>
            <w:gridSpan w:val="3"/>
            <w:vAlign w:val="center"/>
          </w:tcPr>
          <w:p>
            <w:pPr>
              <w:pStyle w:val="16"/>
            </w:pPr>
            <w:r>
              <w:t>工商联工作经费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w:t>
            </w:r>
          </w:p>
        </w:tc>
        <w:tc>
          <w:tcPr>
            <w:tcW w:w="1587" w:type="dxa"/>
            <w:vAlign w:val="center"/>
          </w:tcPr>
          <w:p>
            <w:pPr>
              <w:pStyle w:val="14"/>
            </w:pPr>
            <w:r>
              <w:t>其中：财政    资金</w:t>
            </w:r>
          </w:p>
        </w:tc>
        <w:tc>
          <w:tcPr>
            <w:tcW w:w="1304" w:type="dxa"/>
            <w:vAlign w:val="center"/>
          </w:tcPr>
          <w:p>
            <w:pPr>
              <w:pStyle w:val="16"/>
            </w:pPr>
            <w:r>
              <w:t>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工商联工作经费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1.00</w:t>
            </w:r>
          </w:p>
        </w:tc>
        <w:tc>
          <w:tcPr>
            <w:tcW w:w="1304" w:type="dxa"/>
            <w:vAlign w:val="center"/>
          </w:tcPr>
          <w:p>
            <w:pPr>
              <w:pStyle w:val="17"/>
            </w:pPr>
            <w:r>
              <w:t>1.50</w:t>
            </w:r>
          </w:p>
        </w:tc>
        <w:tc>
          <w:tcPr>
            <w:tcW w:w="3118" w:type="dxa"/>
            <w:gridSpan w:val="2"/>
            <w:vAlign w:val="center"/>
          </w:tcPr>
          <w:p>
            <w:pPr>
              <w:pStyle w:val="1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执行公开率</w:t>
            </w:r>
          </w:p>
        </w:tc>
        <w:tc>
          <w:tcPr>
            <w:tcW w:w="2891" w:type="dxa"/>
            <w:vAlign w:val="center"/>
          </w:tcPr>
          <w:p>
            <w:pPr>
              <w:pStyle w:val="16"/>
            </w:pPr>
            <w:r>
              <w:t>执行公开率</w:t>
            </w:r>
          </w:p>
        </w:tc>
        <w:tc>
          <w:tcPr>
            <w:tcW w:w="1276" w:type="dxa"/>
            <w:vAlign w:val="center"/>
          </w:tcPr>
          <w:p>
            <w:pPr>
              <w:pStyle w:val="16"/>
            </w:pPr>
            <w:r>
              <w:t>≥100百分比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开展会议次数</w:t>
            </w:r>
          </w:p>
        </w:tc>
        <w:tc>
          <w:tcPr>
            <w:tcW w:w="2891" w:type="dxa"/>
            <w:vAlign w:val="center"/>
          </w:tcPr>
          <w:p>
            <w:pPr>
              <w:pStyle w:val="16"/>
            </w:pPr>
            <w:r>
              <w:t>开展会议次数</w:t>
            </w:r>
          </w:p>
        </w:tc>
        <w:tc>
          <w:tcPr>
            <w:tcW w:w="1276" w:type="dxa"/>
            <w:vAlign w:val="center"/>
          </w:tcPr>
          <w:p>
            <w:pPr>
              <w:pStyle w:val="16"/>
            </w:pPr>
            <w:r>
              <w:t>≥2次</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完成及时率</w:t>
            </w:r>
          </w:p>
        </w:tc>
        <w:tc>
          <w:tcPr>
            <w:tcW w:w="2891" w:type="dxa"/>
            <w:vAlign w:val="center"/>
          </w:tcPr>
          <w:p>
            <w:pPr>
              <w:pStyle w:val="16"/>
            </w:pPr>
            <w:r>
              <w:t>完成及时率</w:t>
            </w:r>
          </w:p>
        </w:tc>
        <w:tc>
          <w:tcPr>
            <w:tcW w:w="1276" w:type="dxa"/>
            <w:vAlign w:val="center"/>
          </w:tcPr>
          <w:p>
            <w:pPr>
              <w:pStyle w:val="16"/>
            </w:pPr>
            <w:r>
              <w:t>≥100百分比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财政投入</w:t>
            </w:r>
          </w:p>
        </w:tc>
        <w:tc>
          <w:tcPr>
            <w:tcW w:w="2891" w:type="dxa"/>
            <w:vAlign w:val="center"/>
          </w:tcPr>
          <w:p>
            <w:pPr>
              <w:pStyle w:val="16"/>
            </w:pPr>
            <w:r>
              <w:t>财政投入</w:t>
            </w:r>
          </w:p>
        </w:tc>
        <w:tc>
          <w:tcPr>
            <w:tcW w:w="1276" w:type="dxa"/>
            <w:vAlign w:val="center"/>
          </w:tcPr>
          <w:p>
            <w:pPr>
              <w:pStyle w:val="16"/>
            </w:pPr>
            <w:r>
              <w:t>≥100百分比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对非公经济统战的作用</w:t>
            </w:r>
          </w:p>
        </w:tc>
        <w:tc>
          <w:tcPr>
            <w:tcW w:w="2891" w:type="dxa"/>
            <w:vAlign w:val="center"/>
          </w:tcPr>
          <w:p>
            <w:pPr>
              <w:pStyle w:val="16"/>
            </w:pPr>
            <w:r>
              <w:t>促进非公经济统战发展</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≥90百分比</w:t>
            </w:r>
          </w:p>
        </w:tc>
        <w:tc>
          <w:tcPr>
            <w:tcW w:w="1843" w:type="dxa"/>
            <w:vAlign w:val="center"/>
          </w:tcPr>
          <w:p>
            <w:pPr>
              <w:pStyle w:val="16"/>
            </w:pPr>
            <w:r>
              <w:t>工作方案</w:t>
            </w:r>
          </w:p>
        </w:tc>
      </w:tr>
    </w:tbl>
    <w:p>
      <w:pPr>
        <w:ind w:firstLine="560"/>
        <w:outlineLvl w:val="3"/>
      </w:pPr>
      <w:bookmarkStart w:id="14" w:name="_Toc_4_4_0000000007"/>
      <w:r>
        <w:rPr>
          <w:rFonts w:ascii="方正仿宋_GBK" w:hAnsi="方正仿宋_GBK" w:eastAsia="方正仿宋_GBK" w:cs="方正仿宋_GBK"/>
          <w:color w:val="000000"/>
          <w:sz w:val="28"/>
        </w:rPr>
        <w:t>4.基层宗教事务管理补助冀财行[2023]99号绩效目标表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213001中国共产党涞水县委员会统战部本级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13062324P00938410002T</w:t>
            </w:r>
          </w:p>
        </w:tc>
        <w:tc>
          <w:tcPr>
            <w:tcW w:w="1587" w:type="dxa"/>
            <w:vAlign w:val="center"/>
          </w:tcPr>
          <w:p>
            <w:pPr>
              <w:pStyle w:val="14"/>
            </w:pPr>
            <w:r>
              <w:t>项目名称</w:t>
            </w:r>
          </w:p>
        </w:tc>
        <w:tc>
          <w:tcPr>
            <w:tcW w:w="4422" w:type="dxa"/>
            <w:gridSpan w:val="3"/>
            <w:vAlign w:val="center"/>
          </w:tcPr>
          <w:p>
            <w:pPr>
              <w:pStyle w:val="16"/>
            </w:pPr>
            <w:r>
              <w:t>基层宗教事务管理补助冀财行[2023]99号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5.00</w:t>
            </w:r>
          </w:p>
        </w:tc>
        <w:tc>
          <w:tcPr>
            <w:tcW w:w="1587" w:type="dxa"/>
            <w:vAlign w:val="center"/>
          </w:tcPr>
          <w:p>
            <w:pPr>
              <w:pStyle w:val="14"/>
            </w:pPr>
            <w:r>
              <w:t>其中：财政    资金</w:t>
            </w:r>
          </w:p>
        </w:tc>
        <w:tc>
          <w:tcPr>
            <w:tcW w:w="1304" w:type="dxa"/>
            <w:vAlign w:val="center"/>
          </w:tcPr>
          <w:p>
            <w:pPr>
              <w:pStyle w:val="16"/>
            </w:pPr>
            <w:r>
              <w:t>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基层宗教事务管理补助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2.00</w:t>
            </w:r>
          </w:p>
        </w:tc>
        <w:tc>
          <w:tcPr>
            <w:tcW w:w="1304" w:type="dxa"/>
            <w:vAlign w:val="center"/>
          </w:tcPr>
          <w:p>
            <w:pPr>
              <w:pStyle w:val="17"/>
            </w:pPr>
            <w:r>
              <w:t>3.00</w:t>
            </w:r>
          </w:p>
        </w:tc>
        <w:tc>
          <w:tcPr>
            <w:tcW w:w="3118" w:type="dxa"/>
            <w:gridSpan w:val="2"/>
            <w:vAlign w:val="center"/>
          </w:tcPr>
          <w:p>
            <w:pPr>
              <w:pStyle w:val="1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1.完成宗教事务管理</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执行公开率</w:t>
            </w:r>
          </w:p>
        </w:tc>
        <w:tc>
          <w:tcPr>
            <w:tcW w:w="2891" w:type="dxa"/>
            <w:vAlign w:val="center"/>
          </w:tcPr>
          <w:p>
            <w:pPr>
              <w:pStyle w:val="16"/>
            </w:pPr>
            <w:r>
              <w:t>执行公开率</w:t>
            </w:r>
          </w:p>
        </w:tc>
        <w:tc>
          <w:tcPr>
            <w:tcW w:w="1276" w:type="dxa"/>
            <w:vAlign w:val="center"/>
          </w:tcPr>
          <w:p>
            <w:pPr>
              <w:pStyle w:val="16"/>
            </w:pPr>
            <w:r>
              <w:t>≥100百分比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宗教事务管理工作完成率</w:t>
            </w:r>
          </w:p>
        </w:tc>
        <w:tc>
          <w:tcPr>
            <w:tcW w:w="2891" w:type="dxa"/>
            <w:vAlign w:val="center"/>
          </w:tcPr>
          <w:p>
            <w:pPr>
              <w:pStyle w:val="16"/>
            </w:pPr>
            <w:r>
              <w:t>宗教事务管理工作完成率</w:t>
            </w:r>
          </w:p>
        </w:tc>
        <w:tc>
          <w:tcPr>
            <w:tcW w:w="1276" w:type="dxa"/>
            <w:vAlign w:val="center"/>
          </w:tcPr>
          <w:p>
            <w:pPr>
              <w:pStyle w:val="16"/>
            </w:pPr>
            <w:r>
              <w:t>≥100百分比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完成及时率</w:t>
            </w:r>
          </w:p>
        </w:tc>
        <w:tc>
          <w:tcPr>
            <w:tcW w:w="2891" w:type="dxa"/>
            <w:vAlign w:val="center"/>
          </w:tcPr>
          <w:p>
            <w:pPr>
              <w:pStyle w:val="16"/>
            </w:pPr>
            <w:r>
              <w:t>完成及时率</w:t>
            </w:r>
          </w:p>
        </w:tc>
        <w:tc>
          <w:tcPr>
            <w:tcW w:w="1276" w:type="dxa"/>
            <w:vAlign w:val="center"/>
          </w:tcPr>
          <w:p>
            <w:pPr>
              <w:pStyle w:val="16"/>
            </w:pPr>
            <w:r>
              <w:t>≥100百分比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财政投入</w:t>
            </w:r>
          </w:p>
        </w:tc>
        <w:tc>
          <w:tcPr>
            <w:tcW w:w="2891" w:type="dxa"/>
            <w:vAlign w:val="center"/>
          </w:tcPr>
          <w:p>
            <w:pPr>
              <w:pStyle w:val="16"/>
            </w:pPr>
            <w:r>
              <w:t>财政投入</w:t>
            </w:r>
          </w:p>
        </w:tc>
        <w:tc>
          <w:tcPr>
            <w:tcW w:w="1276" w:type="dxa"/>
            <w:vAlign w:val="center"/>
          </w:tcPr>
          <w:p>
            <w:pPr>
              <w:pStyle w:val="16"/>
            </w:pPr>
            <w:r>
              <w:t>≥100百分比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对促进宗教领域和谐稳定的作用</w:t>
            </w:r>
          </w:p>
        </w:tc>
        <w:tc>
          <w:tcPr>
            <w:tcW w:w="2891" w:type="dxa"/>
            <w:vAlign w:val="center"/>
          </w:tcPr>
          <w:p>
            <w:pPr>
              <w:pStyle w:val="16"/>
            </w:pPr>
            <w:r>
              <w:t>促进基层宗教事务管理高质量发展</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≥90百分比</w:t>
            </w:r>
          </w:p>
        </w:tc>
        <w:tc>
          <w:tcPr>
            <w:tcW w:w="1843" w:type="dxa"/>
            <w:vAlign w:val="center"/>
          </w:tcPr>
          <w:p>
            <w:pPr>
              <w:pStyle w:val="16"/>
            </w:pPr>
            <w:r>
              <w:t>工作方案</w:t>
            </w:r>
          </w:p>
        </w:tc>
      </w:tr>
    </w:tbl>
    <w:p>
      <w:pPr>
        <w:sectPr>
          <w:pgSz w:w="16840" w:h="11900" w:orient="landscape"/>
          <w:pgMar w:top="1361" w:right="1020" w:bottom="1134" w:left="1020" w:header="720" w:footer="720" w:gutter="0"/>
          <w:cols w:space="720" w:num="1"/>
        </w:sectPr>
      </w:pPr>
    </w:p>
    <w:p>
      <w:pPr>
        <w:ind w:firstLine="560"/>
        <w:outlineLvl w:val="3"/>
      </w:pPr>
      <w:bookmarkStart w:id="15" w:name="_Toc_4_4_0000000008"/>
      <w:r>
        <w:rPr>
          <w:rFonts w:ascii="方正仿宋_GBK" w:hAnsi="方正仿宋_GBK" w:eastAsia="方正仿宋_GBK" w:cs="方正仿宋_GBK"/>
          <w:color w:val="000000"/>
          <w:sz w:val="28"/>
        </w:rPr>
        <w:t>5.民族宗教事务和实践创新基地活动经费绩效目标表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213001中国共产党涞水县委员会统战部本级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13062324P00000110052W</w:t>
            </w:r>
          </w:p>
        </w:tc>
        <w:tc>
          <w:tcPr>
            <w:tcW w:w="1587" w:type="dxa"/>
            <w:vAlign w:val="center"/>
          </w:tcPr>
          <w:p>
            <w:pPr>
              <w:pStyle w:val="14"/>
            </w:pPr>
            <w:r>
              <w:t>项目名称</w:t>
            </w:r>
          </w:p>
        </w:tc>
        <w:tc>
          <w:tcPr>
            <w:tcW w:w="4422" w:type="dxa"/>
            <w:gridSpan w:val="3"/>
            <w:vAlign w:val="center"/>
          </w:tcPr>
          <w:p>
            <w:pPr>
              <w:pStyle w:val="16"/>
            </w:pPr>
            <w:r>
              <w:t>民族宗教事务和实践创新基地活动经费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20.00</w:t>
            </w:r>
          </w:p>
        </w:tc>
        <w:tc>
          <w:tcPr>
            <w:tcW w:w="1587" w:type="dxa"/>
            <w:vAlign w:val="center"/>
          </w:tcPr>
          <w:p>
            <w:pPr>
              <w:pStyle w:val="14"/>
            </w:pPr>
            <w:r>
              <w:t>其中：财政    资金</w:t>
            </w:r>
          </w:p>
        </w:tc>
        <w:tc>
          <w:tcPr>
            <w:tcW w:w="1304" w:type="dxa"/>
            <w:vAlign w:val="center"/>
          </w:tcPr>
          <w:p>
            <w:pPr>
              <w:pStyle w:val="16"/>
            </w:pPr>
            <w:r>
              <w:t>20.00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民族宗教事务和实践创新基地建设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w:t>
            </w:r>
          </w:p>
        </w:tc>
        <w:tc>
          <w:tcPr>
            <w:tcW w:w="1587" w:type="dxa"/>
            <w:vAlign w:val="center"/>
          </w:tcPr>
          <w:p>
            <w:pPr>
              <w:pStyle w:val="17"/>
            </w:pPr>
            <w:r>
              <w:t>6.00</w:t>
            </w:r>
          </w:p>
        </w:tc>
        <w:tc>
          <w:tcPr>
            <w:tcW w:w="1304" w:type="dxa"/>
            <w:vAlign w:val="center"/>
          </w:tcPr>
          <w:p>
            <w:pPr>
              <w:pStyle w:val="17"/>
            </w:pPr>
            <w:r>
              <w:t>9.00</w:t>
            </w:r>
          </w:p>
        </w:tc>
        <w:tc>
          <w:tcPr>
            <w:tcW w:w="3118" w:type="dxa"/>
            <w:gridSpan w:val="2"/>
            <w:vAlign w:val="center"/>
          </w:tcPr>
          <w:p>
            <w:pPr>
              <w:pStyle w:val="17"/>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执行公开率</w:t>
            </w:r>
          </w:p>
        </w:tc>
        <w:tc>
          <w:tcPr>
            <w:tcW w:w="2891" w:type="dxa"/>
            <w:vAlign w:val="center"/>
          </w:tcPr>
          <w:p>
            <w:pPr>
              <w:pStyle w:val="16"/>
            </w:pPr>
            <w:r>
              <w:t>执行公开率</w:t>
            </w:r>
          </w:p>
        </w:tc>
        <w:tc>
          <w:tcPr>
            <w:tcW w:w="1276" w:type="dxa"/>
            <w:vAlign w:val="center"/>
          </w:tcPr>
          <w:p>
            <w:pPr>
              <w:pStyle w:val="16"/>
            </w:pPr>
            <w:r>
              <w:t>≥100</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开展活动次数</w:t>
            </w:r>
          </w:p>
        </w:tc>
        <w:tc>
          <w:tcPr>
            <w:tcW w:w="2891" w:type="dxa"/>
            <w:vAlign w:val="center"/>
          </w:tcPr>
          <w:p>
            <w:pPr>
              <w:pStyle w:val="16"/>
            </w:pPr>
            <w:r>
              <w:t>开展活动次数</w:t>
            </w:r>
          </w:p>
        </w:tc>
        <w:tc>
          <w:tcPr>
            <w:tcW w:w="1276" w:type="dxa"/>
            <w:vAlign w:val="center"/>
          </w:tcPr>
          <w:p>
            <w:pPr>
              <w:pStyle w:val="16"/>
            </w:pPr>
            <w:r>
              <w:t>≥100</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完成及时率</w:t>
            </w:r>
          </w:p>
        </w:tc>
        <w:tc>
          <w:tcPr>
            <w:tcW w:w="2891" w:type="dxa"/>
            <w:vAlign w:val="center"/>
          </w:tcPr>
          <w:p>
            <w:pPr>
              <w:pStyle w:val="16"/>
            </w:pPr>
            <w:r>
              <w:t>完成及时率</w:t>
            </w:r>
          </w:p>
        </w:tc>
        <w:tc>
          <w:tcPr>
            <w:tcW w:w="1276" w:type="dxa"/>
            <w:vAlign w:val="center"/>
          </w:tcPr>
          <w:p>
            <w:pPr>
              <w:pStyle w:val="16"/>
            </w:pPr>
            <w:r>
              <w:t>≥100</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财政投入</w:t>
            </w:r>
          </w:p>
        </w:tc>
        <w:tc>
          <w:tcPr>
            <w:tcW w:w="2891" w:type="dxa"/>
            <w:vAlign w:val="center"/>
          </w:tcPr>
          <w:p>
            <w:pPr>
              <w:pStyle w:val="16"/>
            </w:pPr>
            <w:r>
              <w:t>财政投入</w:t>
            </w:r>
          </w:p>
        </w:tc>
        <w:tc>
          <w:tcPr>
            <w:tcW w:w="1276" w:type="dxa"/>
            <w:vAlign w:val="center"/>
          </w:tcPr>
          <w:p>
            <w:pPr>
              <w:pStyle w:val="16"/>
            </w:pPr>
            <w:r>
              <w:t>≥100</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对统战工作</w:t>
            </w:r>
          </w:p>
        </w:tc>
        <w:tc>
          <w:tcPr>
            <w:tcW w:w="2891" w:type="dxa"/>
            <w:vAlign w:val="center"/>
          </w:tcPr>
          <w:p>
            <w:pPr>
              <w:pStyle w:val="16"/>
            </w:pPr>
            <w:r>
              <w:t>促进统战工作高质量发展</w:t>
            </w:r>
          </w:p>
        </w:tc>
        <w:tc>
          <w:tcPr>
            <w:tcW w:w="1276" w:type="dxa"/>
            <w:vAlign w:val="center"/>
          </w:tcPr>
          <w:p>
            <w:pPr>
              <w:pStyle w:val="16"/>
            </w:pPr>
            <w:r>
              <w:t>≥100</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工作方案</w:t>
            </w:r>
          </w:p>
        </w:tc>
      </w:tr>
    </w:tbl>
    <w:p/>
    <w:p>
      <w:pPr>
        <w:ind w:firstLine="560"/>
        <w:outlineLvl w:val="3"/>
      </w:pPr>
      <w:bookmarkStart w:id="16" w:name="_Toc_4_4_0000000009"/>
      <w:r>
        <w:rPr>
          <w:rFonts w:ascii="方正仿宋_GBK" w:hAnsi="方正仿宋_GBK" w:eastAsia="方正仿宋_GBK" w:cs="方正仿宋_GBK"/>
          <w:color w:val="000000"/>
          <w:sz w:val="28"/>
        </w:rPr>
        <w:t>6.清真寺开斋节慰问金绩效目标表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213001中国共产党涞水县委员会统战部本级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13062324P000001100473</w:t>
            </w:r>
          </w:p>
        </w:tc>
        <w:tc>
          <w:tcPr>
            <w:tcW w:w="1587" w:type="dxa"/>
            <w:vAlign w:val="center"/>
          </w:tcPr>
          <w:p>
            <w:pPr>
              <w:pStyle w:val="14"/>
            </w:pPr>
            <w:r>
              <w:t>项目名称</w:t>
            </w:r>
          </w:p>
        </w:tc>
        <w:tc>
          <w:tcPr>
            <w:tcW w:w="4422" w:type="dxa"/>
            <w:gridSpan w:val="3"/>
            <w:vAlign w:val="center"/>
          </w:tcPr>
          <w:p>
            <w:pPr>
              <w:pStyle w:val="16"/>
            </w:pPr>
            <w:r>
              <w:t>清真寺开斋节慰问金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5.00</w:t>
            </w:r>
          </w:p>
        </w:tc>
        <w:tc>
          <w:tcPr>
            <w:tcW w:w="1587" w:type="dxa"/>
            <w:vAlign w:val="center"/>
          </w:tcPr>
          <w:p>
            <w:pPr>
              <w:pStyle w:val="14"/>
            </w:pPr>
            <w:r>
              <w:t>其中：财政    资金</w:t>
            </w:r>
          </w:p>
        </w:tc>
        <w:tc>
          <w:tcPr>
            <w:tcW w:w="1304" w:type="dxa"/>
            <w:vAlign w:val="center"/>
          </w:tcPr>
          <w:p>
            <w:pPr>
              <w:pStyle w:val="16"/>
            </w:pPr>
            <w:r>
              <w:t>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清真寺开斋节慰问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2.00</w:t>
            </w:r>
          </w:p>
        </w:tc>
        <w:tc>
          <w:tcPr>
            <w:tcW w:w="1304" w:type="dxa"/>
            <w:vAlign w:val="center"/>
          </w:tcPr>
          <w:p>
            <w:pPr>
              <w:pStyle w:val="17"/>
            </w:pPr>
            <w:r>
              <w:t>3.00</w:t>
            </w:r>
          </w:p>
        </w:tc>
        <w:tc>
          <w:tcPr>
            <w:tcW w:w="3118" w:type="dxa"/>
            <w:gridSpan w:val="2"/>
            <w:vAlign w:val="center"/>
          </w:tcPr>
          <w:p>
            <w:pPr>
              <w:pStyle w:val="1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1.完成清真寺开斋节慰问</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资金支付率</w:t>
            </w:r>
          </w:p>
        </w:tc>
        <w:tc>
          <w:tcPr>
            <w:tcW w:w="2891" w:type="dxa"/>
            <w:vAlign w:val="center"/>
          </w:tcPr>
          <w:p>
            <w:pPr>
              <w:pStyle w:val="16"/>
            </w:pPr>
            <w:r>
              <w:t>资金支付率</w:t>
            </w:r>
          </w:p>
        </w:tc>
        <w:tc>
          <w:tcPr>
            <w:tcW w:w="1276" w:type="dxa"/>
            <w:vAlign w:val="center"/>
          </w:tcPr>
          <w:p>
            <w:pPr>
              <w:pStyle w:val="16"/>
            </w:pPr>
            <w:r>
              <w:t>≥100百分比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资金达标率</w:t>
            </w:r>
          </w:p>
        </w:tc>
        <w:tc>
          <w:tcPr>
            <w:tcW w:w="2891" w:type="dxa"/>
            <w:vAlign w:val="center"/>
          </w:tcPr>
          <w:p>
            <w:pPr>
              <w:pStyle w:val="16"/>
            </w:pPr>
            <w:r>
              <w:t>资金达标率</w:t>
            </w:r>
          </w:p>
        </w:tc>
        <w:tc>
          <w:tcPr>
            <w:tcW w:w="1276" w:type="dxa"/>
            <w:vAlign w:val="center"/>
          </w:tcPr>
          <w:p>
            <w:pPr>
              <w:pStyle w:val="16"/>
            </w:pPr>
            <w:r>
              <w:t>≥100百分比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完成清真寺开斋节慰问</w:t>
            </w:r>
          </w:p>
        </w:tc>
        <w:tc>
          <w:tcPr>
            <w:tcW w:w="2891" w:type="dxa"/>
            <w:vAlign w:val="center"/>
          </w:tcPr>
          <w:p>
            <w:pPr>
              <w:pStyle w:val="16"/>
            </w:pPr>
            <w:r>
              <w:t>完成及时率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财政投入</w:t>
            </w:r>
          </w:p>
        </w:tc>
        <w:tc>
          <w:tcPr>
            <w:tcW w:w="2891" w:type="dxa"/>
            <w:vAlign w:val="center"/>
          </w:tcPr>
          <w:p>
            <w:pPr>
              <w:pStyle w:val="16"/>
            </w:pPr>
            <w:r>
              <w:t>财政投入</w:t>
            </w:r>
          </w:p>
        </w:tc>
        <w:tc>
          <w:tcPr>
            <w:tcW w:w="1276" w:type="dxa"/>
            <w:vAlign w:val="center"/>
          </w:tcPr>
          <w:p>
            <w:pPr>
              <w:pStyle w:val="16"/>
            </w:pPr>
            <w:r>
              <w:t>≥100百分比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社会稳定水平</w:t>
            </w:r>
          </w:p>
        </w:tc>
        <w:tc>
          <w:tcPr>
            <w:tcW w:w="2891" w:type="dxa"/>
            <w:vAlign w:val="center"/>
          </w:tcPr>
          <w:p>
            <w:pPr>
              <w:pStyle w:val="16"/>
            </w:pPr>
            <w:r>
              <w:t>社会稳定水平</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项目实施后群众对监管研判平台满意度</w:t>
            </w:r>
          </w:p>
        </w:tc>
        <w:tc>
          <w:tcPr>
            <w:tcW w:w="1276" w:type="dxa"/>
            <w:vAlign w:val="center"/>
          </w:tcPr>
          <w:p>
            <w:pPr>
              <w:pStyle w:val="16"/>
            </w:pPr>
            <w:r>
              <w:t>≥90百分比</w:t>
            </w:r>
          </w:p>
        </w:tc>
        <w:tc>
          <w:tcPr>
            <w:tcW w:w="1843" w:type="dxa"/>
            <w:vAlign w:val="center"/>
          </w:tcPr>
          <w:p>
            <w:pPr>
              <w:pStyle w:val="16"/>
            </w:pPr>
            <w:r>
              <w:t>工作方案</w:t>
            </w:r>
          </w:p>
        </w:tc>
      </w:tr>
    </w:tbl>
    <w:p>
      <w:pPr>
        <w:sectPr>
          <w:pgSz w:w="16840" w:h="11900" w:orient="landscape"/>
          <w:pgMar w:top="1361" w:right="1020" w:bottom="1134" w:left="1020" w:header="720" w:footer="720" w:gutter="0"/>
          <w:cols w:space="720" w:num="1"/>
        </w:sectPr>
      </w:pPr>
    </w:p>
    <w:p>
      <w:pPr>
        <w:ind w:firstLine="560"/>
        <w:outlineLvl w:val="3"/>
      </w:pPr>
      <w:bookmarkStart w:id="17" w:name="_Toc_4_4_0000000010"/>
      <w:r>
        <w:rPr>
          <w:rFonts w:ascii="方正仿宋_GBK" w:hAnsi="方正仿宋_GBK" w:eastAsia="方正仿宋_GBK" w:cs="方正仿宋_GBK"/>
          <w:color w:val="000000"/>
          <w:sz w:val="28"/>
        </w:rPr>
        <w:t>7.少数民族地区补助费冀财行[2023]104号绩效目标表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213001中国共产党涞水县委员会统战部本级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13062324P00938410003E</w:t>
            </w:r>
          </w:p>
        </w:tc>
        <w:tc>
          <w:tcPr>
            <w:tcW w:w="1587" w:type="dxa"/>
            <w:vAlign w:val="center"/>
          </w:tcPr>
          <w:p>
            <w:pPr>
              <w:pStyle w:val="14"/>
            </w:pPr>
            <w:r>
              <w:t>项目名称</w:t>
            </w:r>
          </w:p>
        </w:tc>
        <w:tc>
          <w:tcPr>
            <w:tcW w:w="4422" w:type="dxa"/>
            <w:gridSpan w:val="3"/>
            <w:vAlign w:val="center"/>
          </w:tcPr>
          <w:p>
            <w:pPr>
              <w:pStyle w:val="16"/>
            </w:pPr>
            <w:r>
              <w:t>少数民族地区补助费冀财行[2023]104号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6.00</w:t>
            </w:r>
          </w:p>
        </w:tc>
        <w:tc>
          <w:tcPr>
            <w:tcW w:w="1587" w:type="dxa"/>
            <w:vAlign w:val="center"/>
          </w:tcPr>
          <w:p>
            <w:pPr>
              <w:pStyle w:val="14"/>
            </w:pPr>
            <w:r>
              <w:t>其中：财政    资金</w:t>
            </w:r>
          </w:p>
        </w:tc>
        <w:tc>
          <w:tcPr>
            <w:tcW w:w="1304" w:type="dxa"/>
            <w:vAlign w:val="center"/>
          </w:tcPr>
          <w:p>
            <w:pPr>
              <w:pStyle w:val="16"/>
            </w:pPr>
            <w:r>
              <w:t>6.00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少数民族地区补助费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2.00</w:t>
            </w:r>
          </w:p>
        </w:tc>
        <w:tc>
          <w:tcPr>
            <w:tcW w:w="1304" w:type="dxa"/>
            <w:vAlign w:val="center"/>
          </w:tcPr>
          <w:p>
            <w:pPr>
              <w:pStyle w:val="17"/>
            </w:pPr>
            <w:r>
              <w:t>3.00</w:t>
            </w:r>
          </w:p>
        </w:tc>
        <w:tc>
          <w:tcPr>
            <w:tcW w:w="3118" w:type="dxa"/>
            <w:gridSpan w:val="2"/>
            <w:vAlign w:val="center"/>
          </w:tcPr>
          <w:p>
            <w:pPr>
              <w:pStyle w:val="17"/>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执行公开率(%)</w:t>
            </w:r>
          </w:p>
        </w:tc>
        <w:tc>
          <w:tcPr>
            <w:tcW w:w="2891" w:type="dxa"/>
            <w:vAlign w:val="center"/>
          </w:tcPr>
          <w:p>
            <w:pPr>
              <w:pStyle w:val="16"/>
            </w:pPr>
            <w:r>
              <w:t>执行公开率(%)</w:t>
            </w:r>
          </w:p>
        </w:tc>
        <w:tc>
          <w:tcPr>
            <w:tcW w:w="1276" w:type="dxa"/>
            <w:vAlign w:val="center"/>
          </w:tcPr>
          <w:p>
            <w:pPr>
              <w:pStyle w:val="16"/>
            </w:pPr>
            <w:r>
              <w:t>≥100百分比</w:t>
            </w:r>
          </w:p>
        </w:tc>
        <w:tc>
          <w:tcPr>
            <w:tcW w:w="1843" w:type="dxa"/>
            <w:vAlign w:val="center"/>
          </w:tcPr>
          <w:p>
            <w:pPr>
              <w:pStyle w:val="16"/>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工程完成</w:t>
            </w:r>
          </w:p>
        </w:tc>
        <w:tc>
          <w:tcPr>
            <w:tcW w:w="2891" w:type="dxa"/>
            <w:vAlign w:val="center"/>
          </w:tcPr>
          <w:p>
            <w:pPr>
              <w:pStyle w:val="16"/>
            </w:pPr>
            <w:r>
              <w:t>工程完成率</w:t>
            </w:r>
          </w:p>
        </w:tc>
        <w:tc>
          <w:tcPr>
            <w:tcW w:w="1276" w:type="dxa"/>
            <w:vAlign w:val="center"/>
          </w:tcPr>
          <w:p>
            <w:pPr>
              <w:pStyle w:val="16"/>
            </w:pPr>
            <w:r>
              <w:t>≥100百分比</w:t>
            </w:r>
          </w:p>
        </w:tc>
        <w:tc>
          <w:tcPr>
            <w:tcW w:w="1843" w:type="dxa"/>
            <w:vAlign w:val="center"/>
          </w:tcPr>
          <w:p>
            <w:pPr>
              <w:pStyle w:val="16"/>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完成及时率</w:t>
            </w:r>
          </w:p>
        </w:tc>
        <w:tc>
          <w:tcPr>
            <w:tcW w:w="2891" w:type="dxa"/>
            <w:vAlign w:val="center"/>
          </w:tcPr>
          <w:p>
            <w:pPr>
              <w:pStyle w:val="16"/>
            </w:pPr>
            <w:r>
              <w:t>完成及时率</w:t>
            </w:r>
          </w:p>
        </w:tc>
        <w:tc>
          <w:tcPr>
            <w:tcW w:w="1276" w:type="dxa"/>
            <w:vAlign w:val="center"/>
          </w:tcPr>
          <w:p>
            <w:pPr>
              <w:pStyle w:val="16"/>
            </w:pPr>
            <w:r>
              <w:t>≥100百分比</w:t>
            </w:r>
          </w:p>
        </w:tc>
        <w:tc>
          <w:tcPr>
            <w:tcW w:w="1843" w:type="dxa"/>
            <w:vAlign w:val="center"/>
          </w:tcPr>
          <w:p>
            <w:pPr>
              <w:pStyle w:val="16"/>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财政投入</w:t>
            </w:r>
          </w:p>
        </w:tc>
        <w:tc>
          <w:tcPr>
            <w:tcW w:w="2891" w:type="dxa"/>
            <w:vAlign w:val="center"/>
          </w:tcPr>
          <w:p>
            <w:pPr>
              <w:pStyle w:val="16"/>
            </w:pPr>
            <w:r>
              <w:t>财政投入</w:t>
            </w:r>
          </w:p>
        </w:tc>
        <w:tc>
          <w:tcPr>
            <w:tcW w:w="1276" w:type="dxa"/>
            <w:vAlign w:val="center"/>
          </w:tcPr>
          <w:p>
            <w:pPr>
              <w:pStyle w:val="16"/>
            </w:pPr>
            <w:r>
              <w:t>≥100百分比</w:t>
            </w:r>
          </w:p>
        </w:tc>
        <w:tc>
          <w:tcPr>
            <w:tcW w:w="1843" w:type="dxa"/>
            <w:vAlign w:val="center"/>
          </w:tcPr>
          <w:p>
            <w:pPr>
              <w:pStyle w:val="16"/>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对促进民族团结的作用</w:t>
            </w:r>
          </w:p>
        </w:tc>
        <w:tc>
          <w:tcPr>
            <w:tcW w:w="2891" w:type="dxa"/>
            <w:vAlign w:val="center"/>
          </w:tcPr>
          <w:p>
            <w:pPr>
              <w:pStyle w:val="16"/>
            </w:pPr>
            <w:r>
              <w:t>促进民族团结推动经济发展</w:t>
            </w:r>
          </w:p>
        </w:tc>
        <w:tc>
          <w:tcPr>
            <w:tcW w:w="1276" w:type="dxa"/>
            <w:vAlign w:val="center"/>
          </w:tcPr>
          <w:p>
            <w:pPr>
              <w:pStyle w:val="16"/>
            </w:pPr>
            <w:r>
              <w:t>≥100百分比</w:t>
            </w:r>
          </w:p>
        </w:tc>
        <w:tc>
          <w:tcPr>
            <w:tcW w:w="1843" w:type="dxa"/>
            <w:vAlign w:val="center"/>
          </w:tcPr>
          <w:p>
            <w:pPr>
              <w:pStyle w:val="16"/>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≥90百分比</w:t>
            </w:r>
          </w:p>
        </w:tc>
        <w:tc>
          <w:tcPr>
            <w:tcW w:w="1843" w:type="dxa"/>
            <w:vAlign w:val="center"/>
          </w:tcPr>
          <w:p>
            <w:pPr>
              <w:pStyle w:val="16"/>
            </w:pPr>
            <w:r>
              <w:t>按文件要求</w:t>
            </w:r>
          </w:p>
        </w:tc>
      </w:tr>
    </w:tbl>
    <w:p>
      <w:pPr>
        <w:ind w:firstLine="280" w:firstLineChars="100"/>
        <w:jc w:val="both"/>
        <w:rPr>
          <w:rFonts w:ascii="方正仿宋_GBK" w:hAnsi="方正仿宋_GBK" w:eastAsia="方正仿宋_GBK" w:cs="方正仿宋_GBK"/>
          <w:b/>
          <w:color w:val="000000"/>
          <w:sz w:val="28"/>
          <w:lang w:eastAsia="zh-CN"/>
        </w:rPr>
      </w:pPr>
    </w:p>
    <w:p>
      <w:pPr>
        <w:ind w:firstLine="560"/>
        <w:outlineLvl w:val="3"/>
      </w:pPr>
      <w:bookmarkStart w:id="18" w:name="_Toc_4_4_0000000011"/>
      <w:r>
        <w:rPr>
          <w:rFonts w:ascii="方正仿宋_GBK" w:hAnsi="方正仿宋_GBK" w:eastAsia="方正仿宋_GBK" w:cs="方正仿宋_GBK"/>
          <w:color w:val="000000"/>
          <w:sz w:val="28"/>
        </w:rPr>
        <w:t>8.少数民族发展资金冀财行[2023]103号绩效目标表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213001中国共产党涞水县委员会统战部本级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13062324P009384100042</w:t>
            </w:r>
          </w:p>
        </w:tc>
        <w:tc>
          <w:tcPr>
            <w:tcW w:w="1587" w:type="dxa"/>
            <w:vAlign w:val="center"/>
          </w:tcPr>
          <w:p>
            <w:pPr>
              <w:pStyle w:val="14"/>
            </w:pPr>
            <w:r>
              <w:t>项目名称</w:t>
            </w:r>
          </w:p>
        </w:tc>
        <w:tc>
          <w:tcPr>
            <w:tcW w:w="4422" w:type="dxa"/>
            <w:gridSpan w:val="3"/>
            <w:vAlign w:val="center"/>
          </w:tcPr>
          <w:p>
            <w:pPr>
              <w:pStyle w:val="16"/>
            </w:pPr>
            <w:r>
              <w:t>少数民族发展资金冀财行[2023]103号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89.00</w:t>
            </w:r>
          </w:p>
        </w:tc>
        <w:tc>
          <w:tcPr>
            <w:tcW w:w="1587" w:type="dxa"/>
            <w:vAlign w:val="center"/>
          </w:tcPr>
          <w:p>
            <w:pPr>
              <w:pStyle w:val="14"/>
            </w:pPr>
            <w:r>
              <w:t>其中：财政    资金</w:t>
            </w:r>
          </w:p>
        </w:tc>
        <w:tc>
          <w:tcPr>
            <w:tcW w:w="1304" w:type="dxa"/>
            <w:vAlign w:val="center"/>
          </w:tcPr>
          <w:p>
            <w:pPr>
              <w:pStyle w:val="16"/>
            </w:pPr>
            <w:r>
              <w:t>89.00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用于少数民族特色村寨建设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7"/>
            </w:pPr>
            <w:r>
              <w:t>20.00</w:t>
            </w:r>
          </w:p>
        </w:tc>
        <w:tc>
          <w:tcPr>
            <w:tcW w:w="1587" w:type="dxa"/>
            <w:vAlign w:val="center"/>
          </w:tcPr>
          <w:p>
            <w:pPr>
              <w:pStyle w:val="17"/>
            </w:pPr>
            <w:r>
              <w:t>30.00</w:t>
            </w:r>
          </w:p>
        </w:tc>
        <w:tc>
          <w:tcPr>
            <w:tcW w:w="1304" w:type="dxa"/>
            <w:vAlign w:val="center"/>
          </w:tcPr>
          <w:p>
            <w:pPr>
              <w:pStyle w:val="17"/>
            </w:pPr>
            <w:r>
              <w:t>39.00</w:t>
            </w:r>
          </w:p>
        </w:tc>
        <w:tc>
          <w:tcPr>
            <w:tcW w:w="3118" w:type="dxa"/>
            <w:gridSpan w:val="2"/>
            <w:vAlign w:val="center"/>
          </w:tcPr>
          <w:p>
            <w:pPr>
              <w:pStyle w:val="17"/>
            </w:pPr>
            <w:r>
              <w:t>89.00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执行公开率</w:t>
            </w:r>
          </w:p>
        </w:tc>
        <w:tc>
          <w:tcPr>
            <w:tcW w:w="2891" w:type="dxa"/>
            <w:vAlign w:val="center"/>
          </w:tcPr>
          <w:p>
            <w:pPr>
              <w:pStyle w:val="16"/>
            </w:pPr>
            <w:r>
              <w:t>执行公开率</w:t>
            </w:r>
          </w:p>
        </w:tc>
        <w:tc>
          <w:tcPr>
            <w:tcW w:w="1276" w:type="dxa"/>
            <w:vAlign w:val="center"/>
          </w:tcPr>
          <w:p>
            <w:pPr>
              <w:pStyle w:val="16"/>
            </w:pPr>
            <w:r>
              <w:t>≥100百分比</w:t>
            </w:r>
          </w:p>
        </w:tc>
        <w:tc>
          <w:tcPr>
            <w:tcW w:w="1843" w:type="dxa"/>
            <w:vAlign w:val="center"/>
          </w:tcPr>
          <w:p>
            <w:pPr>
              <w:pStyle w:val="16"/>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工程完成</w:t>
            </w:r>
          </w:p>
        </w:tc>
        <w:tc>
          <w:tcPr>
            <w:tcW w:w="2891" w:type="dxa"/>
            <w:vAlign w:val="center"/>
          </w:tcPr>
          <w:p>
            <w:pPr>
              <w:pStyle w:val="16"/>
            </w:pPr>
            <w:r>
              <w:t>工程完成率</w:t>
            </w:r>
          </w:p>
        </w:tc>
        <w:tc>
          <w:tcPr>
            <w:tcW w:w="1276" w:type="dxa"/>
            <w:vAlign w:val="center"/>
          </w:tcPr>
          <w:p>
            <w:pPr>
              <w:pStyle w:val="16"/>
            </w:pPr>
            <w:r>
              <w:t>≥100百分比</w:t>
            </w:r>
          </w:p>
        </w:tc>
        <w:tc>
          <w:tcPr>
            <w:tcW w:w="1843" w:type="dxa"/>
            <w:vAlign w:val="center"/>
          </w:tcPr>
          <w:p>
            <w:pPr>
              <w:pStyle w:val="16"/>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完成及时率</w:t>
            </w:r>
          </w:p>
        </w:tc>
        <w:tc>
          <w:tcPr>
            <w:tcW w:w="2891" w:type="dxa"/>
            <w:vAlign w:val="center"/>
          </w:tcPr>
          <w:p>
            <w:pPr>
              <w:pStyle w:val="16"/>
            </w:pPr>
            <w:r>
              <w:t>完成及时率</w:t>
            </w:r>
          </w:p>
        </w:tc>
        <w:tc>
          <w:tcPr>
            <w:tcW w:w="1276" w:type="dxa"/>
            <w:vAlign w:val="center"/>
          </w:tcPr>
          <w:p>
            <w:pPr>
              <w:pStyle w:val="16"/>
            </w:pPr>
            <w:r>
              <w:t>≥100百分比</w:t>
            </w:r>
          </w:p>
        </w:tc>
        <w:tc>
          <w:tcPr>
            <w:tcW w:w="1843" w:type="dxa"/>
            <w:vAlign w:val="center"/>
          </w:tcPr>
          <w:p>
            <w:pPr>
              <w:pStyle w:val="16"/>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财政投入</w:t>
            </w:r>
          </w:p>
        </w:tc>
        <w:tc>
          <w:tcPr>
            <w:tcW w:w="2891" w:type="dxa"/>
            <w:vAlign w:val="center"/>
          </w:tcPr>
          <w:p>
            <w:pPr>
              <w:pStyle w:val="16"/>
            </w:pPr>
            <w:r>
              <w:t>财政投入</w:t>
            </w:r>
          </w:p>
        </w:tc>
        <w:tc>
          <w:tcPr>
            <w:tcW w:w="1276" w:type="dxa"/>
            <w:vAlign w:val="center"/>
          </w:tcPr>
          <w:p>
            <w:pPr>
              <w:pStyle w:val="16"/>
            </w:pPr>
            <w:r>
              <w:t>≥100百分比</w:t>
            </w:r>
          </w:p>
        </w:tc>
        <w:tc>
          <w:tcPr>
            <w:tcW w:w="1843" w:type="dxa"/>
            <w:vAlign w:val="center"/>
          </w:tcPr>
          <w:p>
            <w:pPr>
              <w:pStyle w:val="16"/>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对促进民族团结的作用</w:t>
            </w:r>
          </w:p>
        </w:tc>
        <w:tc>
          <w:tcPr>
            <w:tcW w:w="2891" w:type="dxa"/>
            <w:vAlign w:val="center"/>
          </w:tcPr>
          <w:p>
            <w:pPr>
              <w:pStyle w:val="16"/>
            </w:pPr>
            <w:r>
              <w:t>促进民族团结推动经济发展</w:t>
            </w:r>
          </w:p>
        </w:tc>
        <w:tc>
          <w:tcPr>
            <w:tcW w:w="1276" w:type="dxa"/>
            <w:vAlign w:val="center"/>
          </w:tcPr>
          <w:p>
            <w:pPr>
              <w:pStyle w:val="16"/>
            </w:pPr>
            <w:r>
              <w:t>≥100百分比</w:t>
            </w:r>
          </w:p>
        </w:tc>
        <w:tc>
          <w:tcPr>
            <w:tcW w:w="1843" w:type="dxa"/>
            <w:vAlign w:val="center"/>
          </w:tcPr>
          <w:p>
            <w:pPr>
              <w:pStyle w:val="16"/>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≥90百分比</w:t>
            </w:r>
          </w:p>
        </w:tc>
        <w:tc>
          <w:tcPr>
            <w:tcW w:w="1843" w:type="dxa"/>
            <w:vAlign w:val="center"/>
          </w:tcPr>
          <w:p>
            <w:pPr>
              <w:pStyle w:val="16"/>
            </w:pPr>
            <w:r>
              <w:t>按文件要求</w:t>
            </w:r>
          </w:p>
        </w:tc>
      </w:tr>
    </w:tbl>
    <w:p>
      <w:pPr>
        <w:spacing w:before="10" w:after="10"/>
        <w:outlineLvl w:val="2"/>
        <w:rPr>
          <w:rFonts w:ascii="黑体" w:hAnsi="黑体" w:eastAsia="黑体" w:cs="黑体"/>
          <w:color w:val="000000"/>
          <w:sz w:val="32"/>
        </w:rPr>
      </w:pPr>
    </w:p>
    <w:p>
      <w:pPr>
        <w:jc w:val="center"/>
      </w:pPr>
    </w:p>
    <w:p>
      <w:pPr>
        <w:ind w:firstLine="560"/>
        <w:outlineLvl w:val="3"/>
      </w:pPr>
      <w:bookmarkStart w:id="19" w:name="_Toc_4_4_0000000012"/>
      <w:r>
        <w:rPr>
          <w:rFonts w:ascii="方正仿宋_GBK" w:hAnsi="方正仿宋_GBK" w:eastAsia="方正仿宋_GBK" w:cs="方正仿宋_GBK"/>
          <w:color w:val="000000"/>
          <w:sz w:val="28"/>
        </w:rPr>
        <w:t>9.社会阶层人士联谊会办公经费绩效目标表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213001中国共产党涞水县委员会统战部本级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13062324P00000110050M</w:t>
            </w:r>
          </w:p>
        </w:tc>
        <w:tc>
          <w:tcPr>
            <w:tcW w:w="1587" w:type="dxa"/>
            <w:vAlign w:val="center"/>
          </w:tcPr>
          <w:p>
            <w:pPr>
              <w:pStyle w:val="14"/>
            </w:pPr>
            <w:r>
              <w:t>项目名称</w:t>
            </w:r>
          </w:p>
        </w:tc>
        <w:tc>
          <w:tcPr>
            <w:tcW w:w="4422" w:type="dxa"/>
            <w:gridSpan w:val="3"/>
            <w:vAlign w:val="center"/>
          </w:tcPr>
          <w:p>
            <w:pPr>
              <w:pStyle w:val="16"/>
            </w:pPr>
            <w:r>
              <w:t>社会阶层人士联谊会办公经费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w:t>
            </w:r>
          </w:p>
        </w:tc>
        <w:tc>
          <w:tcPr>
            <w:tcW w:w="1587" w:type="dxa"/>
            <w:vAlign w:val="center"/>
          </w:tcPr>
          <w:p>
            <w:pPr>
              <w:pStyle w:val="14"/>
            </w:pPr>
            <w:r>
              <w:t>其中：财政    资金</w:t>
            </w:r>
          </w:p>
        </w:tc>
        <w:tc>
          <w:tcPr>
            <w:tcW w:w="1304" w:type="dxa"/>
            <w:vAlign w:val="center"/>
          </w:tcPr>
          <w:p>
            <w:pPr>
              <w:pStyle w:val="16"/>
            </w:pPr>
            <w:r>
              <w:t>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社会阶层人士联谊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0.20</w:t>
            </w:r>
          </w:p>
        </w:tc>
        <w:tc>
          <w:tcPr>
            <w:tcW w:w="1587" w:type="dxa"/>
            <w:vAlign w:val="center"/>
          </w:tcPr>
          <w:p>
            <w:pPr>
              <w:pStyle w:val="17"/>
            </w:pPr>
            <w:r>
              <w:t>0.50</w:t>
            </w:r>
          </w:p>
        </w:tc>
        <w:tc>
          <w:tcPr>
            <w:tcW w:w="1304" w:type="dxa"/>
            <w:vAlign w:val="center"/>
          </w:tcPr>
          <w:p>
            <w:pPr>
              <w:pStyle w:val="17"/>
            </w:pPr>
            <w:r>
              <w:t>0.60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1.内容目标1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执行公开率</w:t>
            </w:r>
          </w:p>
        </w:tc>
        <w:tc>
          <w:tcPr>
            <w:tcW w:w="2891" w:type="dxa"/>
            <w:vAlign w:val="center"/>
          </w:tcPr>
          <w:p>
            <w:pPr>
              <w:pStyle w:val="16"/>
            </w:pPr>
            <w:r>
              <w:t>执行公开率</w:t>
            </w:r>
          </w:p>
        </w:tc>
        <w:tc>
          <w:tcPr>
            <w:tcW w:w="1276" w:type="dxa"/>
            <w:vAlign w:val="center"/>
          </w:tcPr>
          <w:p>
            <w:pPr>
              <w:pStyle w:val="16"/>
            </w:pPr>
            <w:r>
              <w:t>≥100</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开展活动次数</w:t>
            </w:r>
          </w:p>
        </w:tc>
        <w:tc>
          <w:tcPr>
            <w:tcW w:w="2891" w:type="dxa"/>
            <w:vAlign w:val="center"/>
          </w:tcPr>
          <w:p>
            <w:pPr>
              <w:pStyle w:val="16"/>
            </w:pPr>
            <w:r>
              <w:t>开展活动次数</w:t>
            </w:r>
          </w:p>
        </w:tc>
        <w:tc>
          <w:tcPr>
            <w:tcW w:w="1276" w:type="dxa"/>
            <w:vAlign w:val="center"/>
          </w:tcPr>
          <w:p>
            <w:pPr>
              <w:pStyle w:val="16"/>
              <w:rPr>
                <w:rFonts w:hint="eastAsia" w:eastAsia="方正书宋_GBK"/>
                <w:lang w:val="en-US" w:eastAsia="zh-CN"/>
              </w:rPr>
            </w:pPr>
            <w:r>
              <w:t>≥10</w:t>
            </w:r>
            <w:r>
              <w:rPr>
                <w:rFonts w:hint="eastAsia"/>
                <w:lang w:val="en-US" w:eastAsia="zh-CN"/>
              </w:rPr>
              <w:t>0</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完成及时率</w:t>
            </w:r>
          </w:p>
        </w:tc>
        <w:tc>
          <w:tcPr>
            <w:tcW w:w="2891" w:type="dxa"/>
            <w:vAlign w:val="center"/>
          </w:tcPr>
          <w:p>
            <w:pPr>
              <w:pStyle w:val="16"/>
            </w:pPr>
            <w:r>
              <w:t>完成及时率</w:t>
            </w:r>
          </w:p>
        </w:tc>
        <w:tc>
          <w:tcPr>
            <w:tcW w:w="1276" w:type="dxa"/>
            <w:vAlign w:val="center"/>
          </w:tcPr>
          <w:p>
            <w:pPr>
              <w:pStyle w:val="16"/>
            </w:pPr>
            <w:r>
              <w:t>≥100</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财政投入</w:t>
            </w:r>
          </w:p>
        </w:tc>
        <w:tc>
          <w:tcPr>
            <w:tcW w:w="2891" w:type="dxa"/>
            <w:vAlign w:val="center"/>
          </w:tcPr>
          <w:p>
            <w:pPr>
              <w:pStyle w:val="16"/>
            </w:pPr>
            <w:r>
              <w:t>财政投入</w:t>
            </w:r>
          </w:p>
        </w:tc>
        <w:tc>
          <w:tcPr>
            <w:tcW w:w="1276" w:type="dxa"/>
            <w:vAlign w:val="center"/>
          </w:tcPr>
          <w:p>
            <w:pPr>
              <w:pStyle w:val="16"/>
            </w:pPr>
            <w:r>
              <w:t>≥100</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对新阶层人士统战工作</w:t>
            </w:r>
          </w:p>
        </w:tc>
        <w:tc>
          <w:tcPr>
            <w:tcW w:w="2891" w:type="dxa"/>
            <w:vAlign w:val="center"/>
          </w:tcPr>
          <w:p>
            <w:pPr>
              <w:pStyle w:val="16"/>
            </w:pPr>
            <w:r>
              <w:t>促进新阶层人士统战工作高质量发展</w:t>
            </w:r>
          </w:p>
        </w:tc>
        <w:tc>
          <w:tcPr>
            <w:tcW w:w="1276" w:type="dxa"/>
            <w:vAlign w:val="center"/>
          </w:tcPr>
          <w:p>
            <w:pPr>
              <w:pStyle w:val="16"/>
            </w:pPr>
            <w:r>
              <w:t>≥100</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工作方案</w:t>
            </w:r>
          </w:p>
        </w:tc>
      </w:tr>
    </w:tbl>
    <w:p>
      <w:pPr>
        <w:ind w:firstLine="560" w:firstLineChars="200"/>
        <w:jc w:val="both"/>
        <w:rPr>
          <w:rFonts w:ascii="方正仿宋_GBK" w:hAnsi="方正仿宋_GBK" w:eastAsia="方正仿宋_GBK" w:cs="方正仿宋_GBK"/>
          <w:b/>
          <w:color w:val="000000"/>
          <w:sz w:val="28"/>
          <w:lang w:eastAsia="zh-CN"/>
        </w:rPr>
      </w:pPr>
    </w:p>
    <w:p>
      <w:pPr>
        <w:ind w:firstLine="560"/>
        <w:outlineLvl w:val="3"/>
        <w:rPr>
          <w:rFonts w:hint="eastAsia" w:ascii="方正仿宋_GBK" w:hAnsi="方正仿宋_GBK" w:eastAsia="方正仿宋_GBK" w:cs="方正仿宋_GBK"/>
          <w:color w:val="000000"/>
          <w:sz w:val="28"/>
          <w:lang w:eastAsia="zh-CN"/>
        </w:rPr>
      </w:pPr>
      <w:bookmarkStart w:id="20" w:name="_Toc_4_4_0000000013"/>
    </w:p>
    <w:p>
      <w:pPr>
        <w:ind w:firstLine="560"/>
        <w:outlineLvl w:val="3"/>
      </w:pPr>
      <w:r>
        <w:rPr>
          <w:rFonts w:ascii="方正仿宋_GBK" w:hAnsi="方正仿宋_GBK" w:eastAsia="方正仿宋_GBK" w:cs="方正仿宋_GBK"/>
          <w:color w:val="000000"/>
          <w:sz w:val="28"/>
        </w:rPr>
        <w:t>10.宗教工作维稳经费绩效目标表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213001中国共产党涞水县委员会统战部本级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13062324P00000110048N</w:t>
            </w:r>
          </w:p>
        </w:tc>
        <w:tc>
          <w:tcPr>
            <w:tcW w:w="1587" w:type="dxa"/>
            <w:vAlign w:val="center"/>
          </w:tcPr>
          <w:p>
            <w:pPr>
              <w:pStyle w:val="14"/>
            </w:pPr>
            <w:r>
              <w:t>项目名称</w:t>
            </w:r>
          </w:p>
        </w:tc>
        <w:tc>
          <w:tcPr>
            <w:tcW w:w="4422" w:type="dxa"/>
            <w:gridSpan w:val="3"/>
            <w:vAlign w:val="center"/>
          </w:tcPr>
          <w:p>
            <w:pPr>
              <w:pStyle w:val="16"/>
            </w:pPr>
            <w:r>
              <w:t>宗教工作维稳经费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5.00</w:t>
            </w:r>
          </w:p>
        </w:tc>
        <w:tc>
          <w:tcPr>
            <w:tcW w:w="1587" w:type="dxa"/>
            <w:vAlign w:val="center"/>
          </w:tcPr>
          <w:p>
            <w:pPr>
              <w:pStyle w:val="14"/>
            </w:pPr>
            <w:r>
              <w:t>其中：财政    资金</w:t>
            </w:r>
          </w:p>
        </w:tc>
        <w:tc>
          <w:tcPr>
            <w:tcW w:w="1304" w:type="dxa"/>
            <w:vAlign w:val="center"/>
          </w:tcPr>
          <w:p>
            <w:pPr>
              <w:pStyle w:val="16"/>
            </w:pPr>
            <w:r>
              <w:t>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宗教工作维稳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2.00</w:t>
            </w:r>
          </w:p>
        </w:tc>
        <w:tc>
          <w:tcPr>
            <w:tcW w:w="1304" w:type="dxa"/>
            <w:vAlign w:val="center"/>
          </w:tcPr>
          <w:p>
            <w:pPr>
              <w:pStyle w:val="17"/>
            </w:pPr>
            <w:r>
              <w:t>3.00</w:t>
            </w:r>
          </w:p>
        </w:tc>
        <w:tc>
          <w:tcPr>
            <w:tcW w:w="3118" w:type="dxa"/>
            <w:gridSpan w:val="2"/>
            <w:vAlign w:val="center"/>
          </w:tcPr>
          <w:p>
            <w:pPr>
              <w:pStyle w:val="1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1.完成宗教工作维稳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民族统计工作次数</w:t>
            </w:r>
          </w:p>
        </w:tc>
        <w:tc>
          <w:tcPr>
            <w:tcW w:w="2891" w:type="dxa"/>
            <w:vAlign w:val="center"/>
          </w:tcPr>
          <w:p>
            <w:pPr>
              <w:pStyle w:val="16"/>
            </w:pPr>
            <w:r>
              <w:t>开展民族统计工作次数</w:t>
            </w:r>
          </w:p>
        </w:tc>
        <w:tc>
          <w:tcPr>
            <w:tcW w:w="1276" w:type="dxa"/>
            <w:vAlign w:val="center"/>
          </w:tcPr>
          <w:p>
            <w:pPr>
              <w:pStyle w:val="16"/>
            </w:pPr>
            <w:r>
              <w:t>≥5调查研究民族宗教工作</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帮扶困难教职人员</w:t>
            </w:r>
          </w:p>
        </w:tc>
        <w:tc>
          <w:tcPr>
            <w:tcW w:w="2891" w:type="dxa"/>
            <w:vAlign w:val="center"/>
          </w:tcPr>
          <w:p>
            <w:pPr>
              <w:pStyle w:val="16"/>
            </w:pPr>
            <w:r>
              <w:t>帮扶困难教职人员数量</w:t>
            </w:r>
          </w:p>
        </w:tc>
        <w:tc>
          <w:tcPr>
            <w:tcW w:w="1276" w:type="dxa"/>
            <w:vAlign w:val="center"/>
          </w:tcPr>
          <w:p>
            <w:pPr>
              <w:pStyle w:val="16"/>
            </w:pPr>
            <w:r>
              <w:t>≥10联系少数民族和宗教人士</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完成及时率</w:t>
            </w:r>
          </w:p>
        </w:tc>
        <w:tc>
          <w:tcPr>
            <w:tcW w:w="2891" w:type="dxa"/>
            <w:vAlign w:val="center"/>
          </w:tcPr>
          <w:p>
            <w:pPr>
              <w:pStyle w:val="16"/>
            </w:pPr>
            <w:r>
              <w:t>完成及时率</w:t>
            </w:r>
          </w:p>
        </w:tc>
        <w:tc>
          <w:tcPr>
            <w:tcW w:w="1276" w:type="dxa"/>
            <w:vAlign w:val="center"/>
          </w:tcPr>
          <w:p>
            <w:pPr>
              <w:pStyle w:val="16"/>
            </w:pPr>
            <w:r>
              <w:t>≥90</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财政投入</w:t>
            </w:r>
          </w:p>
        </w:tc>
        <w:tc>
          <w:tcPr>
            <w:tcW w:w="2891" w:type="dxa"/>
            <w:vAlign w:val="center"/>
          </w:tcPr>
          <w:p>
            <w:pPr>
              <w:pStyle w:val="16"/>
            </w:pPr>
            <w:r>
              <w:t>财政投入</w:t>
            </w:r>
          </w:p>
        </w:tc>
        <w:tc>
          <w:tcPr>
            <w:tcW w:w="1276" w:type="dxa"/>
            <w:vAlign w:val="center"/>
          </w:tcPr>
          <w:p>
            <w:pPr>
              <w:pStyle w:val="16"/>
            </w:pPr>
            <w:r>
              <w:t>≥100</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成功办结涉及民族关系问题</w:t>
            </w:r>
          </w:p>
        </w:tc>
        <w:tc>
          <w:tcPr>
            <w:tcW w:w="2891" w:type="dxa"/>
            <w:vAlign w:val="center"/>
          </w:tcPr>
          <w:p>
            <w:pPr>
              <w:pStyle w:val="16"/>
            </w:pPr>
            <w:r>
              <w:t>成功办结涉及民族关系问题</w:t>
            </w:r>
          </w:p>
        </w:tc>
        <w:tc>
          <w:tcPr>
            <w:tcW w:w="1276" w:type="dxa"/>
            <w:vAlign w:val="center"/>
          </w:tcPr>
          <w:p>
            <w:pPr>
              <w:pStyle w:val="16"/>
            </w:pPr>
            <w:r>
              <w:t>≥90</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项目实施后群众对监管研判平台满意度</w:t>
            </w:r>
          </w:p>
        </w:tc>
        <w:tc>
          <w:tcPr>
            <w:tcW w:w="1276" w:type="dxa"/>
            <w:vAlign w:val="center"/>
          </w:tcPr>
          <w:p>
            <w:pPr>
              <w:pStyle w:val="16"/>
            </w:pPr>
            <w:r>
              <w:t>≥90</w:t>
            </w:r>
          </w:p>
        </w:tc>
        <w:tc>
          <w:tcPr>
            <w:tcW w:w="1843" w:type="dxa"/>
            <w:vAlign w:val="center"/>
          </w:tcPr>
          <w:p>
            <w:pPr>
              <w:pStyle w:val="16"/>
            </w:pPr>
            <w:r>
              <w:t>工作方案</w:t>
            </w:r>
          </w:p>
        </w:tc>
      </w:tr>
    </w:tbl>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pPr>
      <w:r>
        <w:rPr>
          <w:rFonts w:ascii="黑体" w:hAnsi="黑体" w:eastAsia="黑体" w:cs="黑体"/>
          <w:color w:val="000000"/>
          <w:sz w:val="32"/>
        </w:rPr>
        <w:t>六、政府采购预算情况</w:t>
      </w:r>
      <w:bookmarkEnd w:id="11"/>
    </w:p>
    <w:p>
      <w:pPr>
        <w:spacing w:line="500" w:lineRule="exact"/>
        <w:ind w:firstLine="560"/>
      </w:pPr>
      <w:r>
        <w:rPr>
          <w:rFonts w:hint="eastAsia" w:eastAsia="方正仿宋_GBK"/>
          <w:color w:val="000000"/>
          <w:sz w:val="28"/>
          <w:lang w:eastAsia="zh-CN"/>
        </w:rPr>
        <w:t>2024</w:t>
      </w:r>
      <w:r>
        <w:rPr>
          <w:rFonts w:hint="eastAsia" w:eastAsia="方正仿宋_GBK"/>
          <w:color w:val="000000"/>
          <w:sz w:val="28"/>
        </w:rPr>
        <w:t>年我单位无政府采购预算</w:t>
      </w:r>
      <w:r>
        <w:rPr>
          <w:rFonts w:hint="eastAsia" w:eastAsia="方正仿宋_GBK"/>
          <w:color w:val="000000"/>
          <w:sz w:val="28"/>
          <w:lang w:eastAsia="zh-CN"/>
        </w:rPr>
        <w:t>，空表列示</w:t>
      </w:r>
      <w:r>
        <w:rPr>
          <w:rFonts w:hint="eastAsia" w:eastAsia="方正仿宋_GBK"/>
          <w:color w:val="000000"/>
          <w:sz w:val="28"/>
        </w:rPr>
        <w:t>。</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213中国共产党涞水县委员会统战部</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lang w:eastAsia="zh-CN"/>
              </w:rPr>
              <w:t>涞水县统战部</w:t>
            </w:r>
            <w:r>
              <w:t>（本级）小计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bookmarkStart w:id="21" w:name="_Toc_3_3_0000000016"/>
    </w:p>
    <w:p>
      <w:pPr>
        <w:spacing w:line="500" w:lineRule="exact"/>
        <w:ind w:firstLine="420"/>
        <w:rPr>
          <w:rFonts w:ascii="方正书宋_GBK" w:hAnsi="方正书宋_GBK" w:eastAsia="方正书宋_GBK" w:cs="方正书宋_GBK"/>
          <w:color w:val="000000"/>
          <w:sz w:val="21"/>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1"/>
    </w:p>
    <w:p>
      <w:pPr>
        <w:spacing w:line="500" w:lineRule="exact"/>
        <w:ind w:firstLine="560"/>
        <w:rPr>
          <w:rFonts w:eastAsia="方正仿宋_GBK"/>
          <w:color w:val="000000"/>
          <w:sz w:val="28"/>
        </w:rPr>
      </w:pPr>
      <w:r>
        <w:rPr>
          <w:rFonts w:hint="eastAsia" w:eastAsia="方正仿宋_GBK"/>
          <w:color w:val="000000"/>
          <w:sz w:val="28"/>
        </w:rPr>
        <w:t>统战部隶属县委，在县委楼统一办公，无自有办公用房；我单位共有车辆2辆，其中一辆为省级配备价值6.7万元，</w:t>
      </w:r>
      <w:r>
        <w:rPr>
          <w:rFonts w:hint="eastAsia" w:eastAsia="方正仿宋_GBK"/>
          <w:color w:val="000000"/>
          <w:sz w:val="28"/>
          <w:lang w:eastAsia="zh-CN"/>
        </w:rPr>
        <w:t>另一辆为自配价值12.9422万元，</w:t>
      </w:r>
      <w:r>
        <w:rPr>
          <w:rFonts w:hint="eastAsia" w:eastAsia="方正仿宋_GBK"/>
          <w:color w:val="000000"/>
          <w:sz w:val="28"/>
        </w:rPr>
        <w:t>其他固定资产价值</w:t>
      </w:r>
      <w:r>
        <w:rPr>
          <w:rFonts w:hint="eastAsia" w:eastAsia="方正仿宋_GBK"/>
          <w:color w:val="000000"/>
          <w:sz w:val="28"/>
          <w:lang w:val="en-US" w:eastAsia="zh-CN"/>
        </w:rPr>
        <w:t>15.8789</w:t>
      </w:r>
      <w:r>
        <w:rPr>
          <w:rFonts w:hint="eastAsia" w:eastAsia="方正仿宋_GBK"/>
          <w:color w:val="000000"/>
          <w:sz w:val="28"/>
        </w:rPr>
        <w:t>万元</w:t>
      </w:r>
      <w:r>
        <w:rPr>
          <w:rFonts w:hint="eastAsia" w:eastAsia="方正仿宋_GBK"/>
          <w:color w:val="000000"/>
          <w:sz w:val="28"/>
          <w:lang w:eastAsia="zh-CN"/>
        </w:rPr>
        <w:t>，2024</w:t>
      </w:r>
      <w:r>
        <w:rPr>
          <w:rFonts w:hint="eastAsia" w:eastAsia="方正仿宋_GBK"/>
          <w:color w:val="000000"/>
          <w:sz w:val="28"/>
        </w:rPr>
        <w:t>年拟购置固定资产为零。</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rPr>
                <w:rFonts w:hint="eastAsia"/>
                <w:lang w:eastAsia="zh-CN"/>
              </w:rPr>
              <w:t>213中共涞水县委员会统战部</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3</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rPr>
              <w:t>2</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lang w:eastAsia="zh-CN"/>
              </w:rPr>
              <w:t>19.6422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color w:val="000000"/>
                <w:sz w:val="21"/>
                <w:szCs w:val="21"/>
                <w:lang w:val="en-US" w:eastAsia="zh-CN"/>
              </w:rPr>
            </w:pPr>
            <w:r>
              <w:rPr>
                <w:rFonts w:hint="eastAsia" w:ascii="宋体" w:hAnsi="宋体"/>
                <w:color w:val="000000"/>
                <w:sz w:val="21"/>
                <w:szCs w:val="21"/>
                <w:lang w:val="en-US" w:eastAsia="zh-CN"/>
              </w:rPr>
              <w:t>15.8789</w:t>
            </w:r>
          </w:p>
        </w:tc>
      </w:tr>
    </w:tbl>
    <w:p>
      <w:pPr>
        <w:ind w:firstLine="640"/>
      </w:pPr>
    </w:p>
    <w:p>
      <w:pPr>
        <w:ind w:firstLine="640"/>
      </w:pPr>
    </w:p>
    <w:p>
      <w:pPr>
        <w:spacing w:before="10" w:after="10"/>
        <w:ind w:firstLine="640"/>
        <w:outlineLvl w:val="2"/>
        <w:rPr>
          <w:rFonts w:ascii="黑体" w:hAnsi="黑体" w:eastAsia="黑体" w:cs="黑体"/>
          <w:color w:val="000000"/>
          <w:sz w:val="32"/>
        </w:rPr>
      </w:pPr>
      <w:bookmarkStart w:id="22"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22"/>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w:t>
      </w:r>
      <w:r>
        <w:rPr>
          <w:rFonts w:eastAsia="方正仿宋_GBK"/>
          <w:color w:val="000000"/>
          <w:sz w:val="28"/>
        </w:rPr>
        <w:t>级财政预算管理的“三公”经费，是指</w:t>
      </w:r>
      <w:r>
        <w:rPr>
          <w:rFonts w:hint="eastAsia" w:eastAsia="方正仿宋_GBK"/>
          <w:color w:val="000000"/>
          <w:sz w:val="28"/>
          <w:lang w:eastAsia="zh-CN"/>
        </w:rPr>
        <w:t>县</w:t>
      </w:r>
      <w:r>
        <w:rPr>
          <w:rFonts w:eastAsia="方正仿宋_GBK"/>
          <w:color w:val="000000"/>
          <w:sz w:val="28"/>
        </w:rPr>
        <w:t>级部门用财政拨款安排的因公出国（境）费、公务用车购置及运维费和公务接待费。其中，因公出国（境）费反映单位公务出国（境）的住宿费、旅费、伙食补助费、杂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3" w:name="_Toc_3_3_0000000018"/>
      <w:r>
        <w:rPr>
          <w:rFonts w:ascii="黑体" w:hAnsi="黑体" w:eastAsia="黑体" w:cs="黑体"/>
          <w:color w:val="000000"/>
          <w:sz w:val="32"/>
        </w:rPr>
        <w:t>九、其他需要说明的事项</w:t>
      </w:r>
      <w:bookmarkEnd w:id="23"/>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normal">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jc w:val="right"/>
                          </w:pPr>
                          <w:r>
                            <w:fldChar w:fldCharType="begin"/>
                          </w:r>
                          <w:r>
                            <w:instrText xml:space="preserve">PAGE "page number"</w:instrText>
                          </w:r>
                          <w:r>
                            <w:fldChar w:fldCharType="separate"/>
                          </w:r>
                          <w:r>
                            <w:t>21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fBqN30gEAAKUDAAAOAAAAAAAAAAEAIAAAAB4BAABk&#10;cnMvZTJvRG9jLnhtbFBLBQYAAAAABgAGAFkBAABiBQ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
                            <w:fldChar w:fldCharType="begin"/>
                          </w:r>
                          <w:r>
                            <w:instrText xml:space="preserve">PAGE "page number"</w:instrText>
                          </w:r>
                          <w:r>
                            <w:fldChar w:fldCharType="separate"/>
                          </w:r>
                          <w:r>
                            <w:t>20</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KXTAhTUAQAApQMAAA4AAAAAAAAAAQAgAAAAHgEA&#10;AGRycy9lMm9Eb2MueG1sUEsFBgAAAAAGAAYAWQEAAGQF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xOGJlOTA1NTE5NmFjZmNkMjQ1OGI5NWYzNzViNGYifQ=="/>
  </w:docVars>
  <w:rsids>
    <w:rsidRoot w:val="00B77213"/>
    <w:rsid w:val="000D2C83"/>
    <w:rsid w:val="00154464"/>
    <w:rsid w:val="005444DC"/>
    <w:rsid w:val="00B77213"/>
    <w:rsid w:val="00CB26EA"/>
    <w:rsid w:val="027847F4"/>
    <w:rsid w:val="08576F3A"/>
    <w:rsid w:val="1CA7512B"/>
    <w:rsid w:val="1FB6365E"/>
    <w:rsid w:val="21E976AE"/>
    <w:rsid w:val="312F7772"/>
    <w:rsid w:val="38EC60E3"/>
    <w:rsid w:val="39FC665F"/>
    <w:rsid w:val="3A372EBC"/>
    <w:rsid w:val="40B01F51"/>
    <w:rsid w:val="4306667C"/>
    <w:rsid w:val="45A32084"/>
    <w:rsid w:val="4BF14FED"/>
    <w:rsid w:val="4E47279B"/>
    <w:rsid w:val="4EB463E3"/>
    <w:rsid w:val="506568B4"/>
    <w:rsid w:val="519274E3"/>
    <w:rsid w:val="5E4A533B"/>
    <w:rsid w:val="5EE017FC"/>
    <w:rsid w:val="66F44096"/>
    <w:rsid w:val="68C61A62"/>
    <w:rsid w:val="6958026B"/>
    <w:rsid w:val="6A2113E7"/>
    <w:rsid w:val="6B2C6577"/>
    <w:rsid w:val="6D090EB1"/>
    <w:rsid w:val="6FEA7192"/>
    <w:rsid w:val="72200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字符"/>
    <w:basedOn w:val="10"/>
    <w:link w:val="4"/>
    <w:qFormat/>
    <w:uiPriority w:val="99"/>
    <w:rPr>
      <w:rFonts w:eastAsia="Times New Roman"/>
      <w:sz w:val="18"/>
      <w:szCs w:val="18"/>
      <w:lang w:eastAsia="uk-UA"/>
    </w:rPr>
  </w:style>
  <w:style w:type="character" w:customStyle="1" w:styleId="34">
    <w:name w:val="页脚 字符"/>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2450</Words>
  <Characters>13971</Characters>
  <Lines>116</Lines>
  <Paragraphs>32</Paragraphs>
  <TotalTime>19</TotalTime>
  <ScaleCrop>false</ScaleCrop>
  <LinksUpToDate>false</LinksUpToDate>
  <CharactersWithSpaces>16389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2024-01-25T07:15:00Z</dcterms:created>
  <dc:creator>Administrator</dc:creator>
  <cp:lastModifiedBy>Dell</cp:lastModifiedBy>
  <dcterms:modified xsi:type="dcterms:W3CDTF">2024-02-05T08:44:05Z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71C5BA7BEF5947288ECE28C874E52AF5_13</vt:lpwstr>
  </property>
</Properties>
</file>