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sz w:val="44"/>
          <w:szCs w:val="44"/>
        </w:rPr>
      </w:pPr>
      <w:r>
        <w:rPr>
          <w:rFonts w:hint="eastAsia" w:ascii="黑体" w:hAnsi="黑体" w:eastAsia="黑体" w:cs="黑体"/>
          <w:b/>
          <w:color w:val="000000"/>
          <w:sz w:val="44"/>
          <w:szCs w:val="44"/>
          <w:lang w:eastAsia="zh-CN"/>
        </w:rPr>
        <w:t>涞水县胡家庄乡人民政府</w:t>
      </w:r>
      <w:r>
        <w:rPr>
          <w:rFonts w:hint="eastAsia" w:ascii="黑体" w:hAnsi="黑体" w:eastAsia="黑体" w:cs="黑体"/>
          <w:b/>
          <w:color w:val="000000"/>
          <w:sz w:val="44"/>
          <w:szCs w:val="44"/>
        </w:rPr>
        <w:t>所属单位预算</w:t>
      </w:r>
    </w:p>
    <w:p>
      <w:pPr>
        <w:pStyle w:val="6"/>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涞水县胡家庄乡人民政府</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6"/>
        <w:tabs>
          <w:tab w:val="right" w:leader="dot" w:pos="14562"/>
        </w:tabs>
      </w:pP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涞水县胡家庄乡人民政府</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809001涞水县胡家庄乡人民政府本级</w:t>
            </w:r>
          </w:p>
        </w:tc>
        <w:tc>
          <w:tcPr>
            <w:tcW w:w="2126"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1"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5"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5" w:type="dxa"/>
            <w:vAlign w:val="center"/>
          </w:tcPr>
          <w:p>
            <w:pPr>
              <w:pStyle w:val="18"/>
            </w:pPr>
            <w:r>
              <w:rPr>
                <w:rFonts w:hint="eastAsia"/>
              </w:rPr>
              <w:t>一、一般公共预算拨款收入</w:t>
            </w:r>
          </w:p>
        </w:tc>
        <w:tc>
          <w:tcPr>
            <w:tcW w:w="2126" w:type="dxa"/>
            <w:vAlign w:val="center"/>
          </w:tcPr>
          <w:p>
            <w:pPr>
              <w:pStyle w:val="17"/>
              <w:rPr>
                <w:rFonts w:hint="default" w:eastAsia="方正书宋_GBK"/>
                <w:lang w:val="en-US" w:eastAsia="zh-CN"/>
              </w:rPr>
            </w:pPr>
            <w:r>
              <w:rPr>
                <w:rFonts w:hint="eastAsia"/>
                <w:lang w:val="en-US" w:eastAsia="zh-CN"/>
              </w:rPr>
              <w:t>579.70</w:t>
            </w:r>
          </w:p>
        </w:tc>
        <w:tc>
          <w:tcPr>
            <w:tcW w:w="4535" w:type="dxa"/>
            <w:vAlign w:val="center"/>
          </w:tcPr>
          <w:p>
            <w:pPr>
              <w:pStyle w:val="18"/>
            </w:pPr>
            <w:r>
              <w:rPr>
                <w:rFonts w:hint="eastAsia"/>
              </w:rPr>
              <w:t>一、一般公共服务支出</w:t>
            </w:r>
          </w:p>
        </w:tc>
        <w:tc>
          <w:tcPr>
            <w:tcW w:w="2126" w:type="dxa"/>
            <w:vAlign w:val="center"/>
          </w:tcPr>
          <w:p>
            <w:pPr>
              <w:pStyle w:val="17"/>
              <w:rPr>
                <w:rFonts w:hint="default"/>
                <w:lang w:val="en-US" w:eastAsia="zh-CN"/>
              </w:rPr>
            </w:pPr>
            <w:r>
              <w:rPr>
                <w:rFonts w:hint="eastAsia"/>
                <w:lang w:val="en-US" w:eastAsia="zh-CN"/>
              </w:rPr>
              <w:t>498.53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5"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5"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5"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5"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5"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5"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rPr>
                <w:rFonts w:hint="default" w:eastAsia="方正书宋_GBK"/>
                <w:lang w:val="en-US" w:eastAsia="zh-CN"/>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5"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rPr>
                <w:rFonts w:hint="default" w:eastAsia="方正书宋_GBK"/>
                <w:lang w:val="en-US" w:eastAsia="zh-CN"/>
              </w:rPr>
            </w:pPr>
            <w:r>
              <w:rPr>
                <w:rFonts w:hint="eastAsia"/>
                <w:lang w:val="en-US" w:eastAsia="zh-CN"/>
              </w:rPr>
              <w:t xml:space="preserve"> 34.73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5"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rPr>
                <w:rFonts w:hint="default" w:eastAsia="方正书宋_GBK"/>
                <w:lang w:val="en-US" w:eastAsia="zh-CN"/>
              </w:rPr>
            </w:pPr>
            <w:r>
              <w:rPr>
                <w:rFonts w:hint="eastAsia"/>
                <w:lang w:val="en-US" w:eastAsia="zh-CN"/>
              </w:rPr>
              <w:t>19.63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rPr>
                <w:rFonts w:hint="default" w:eastAsia="方正书宋_GBK"/>
                <w:lang w:val="en-US" w:eastAsia="zh-CN"/>
              </w:rPr>
            </w:pPr>
            <w:r>
              <w:rPr>
                <w:rFonts w:hint="eastAsia"/>
                <w:lang w:val="en-US" w:eastAsia="zh-CN"/>
              </w:rPr>
              <w:t>25.06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5" w:type="dxa"/>
            <w:vAlign w:val="center"/>
          </w:tcPr>
          <w:p>
            <w:pPr>
              <w:pStyle w:val="20"/>
            </w:pPr>
            <w:r>
              <w:rPr>
                <w:rFonts w:hint="eastAsia"/>
              </w:rPr>
              <w:t>本年收入合计</w:t>
            </w:r>
          </w:p>
        </w:tc>
        <w:tc>
          <w:tcPr>
            <w:tcW w:w="2126" w:type="dxa"/>
            <w:vAlign w:val="center"/>
          </w:tcPr>
          <w:p>
            <w:pPr>
              <w:pStyle w:val="21"/>
              <w:rPr>
                <w:rFonts w:hint="default" w:eastAsia="方正书宋_GBK"/>
                <w:lang w:val="en-US" w:eastAsia="zh-CN"/>
              </w:rPr>
            </w:pPr>
            <w:r>
              <w:rPr>
                <w:rFonts w:hint="eastAsia"/>
                <w:lang w:val="en-US" w:eastAsia="zh-CN"/>
              </w:rPr>
              <w:t>579.70</w:t>
            </w:r>
          </w:p>
        </w:tc>
        <w:tc>
          <w:tcPr>
            <w:tcW w:w="4535" w:type="dxa"/>
            <w:vAlign w:val="center"/>
          </w:tcPr>
          <w:p>
            <w:pPr>
              <w:pStyle w:val="20"/>
              <w:rPr>
                <w:rFonts w:hint="default"/>
                <w:lang w:val="en-US"/>
              </w:rPr>
            </w:pPr>
          </w:p>
        </w:tc>
        <w:tc>
          <w:tcPr>
            <w:tcW w:w="2126" w:type="dxa"/>
            <w:vAlign w:val="center"/>
          </w:tcPr>
          <w:p>
            <w:pPr>
              <w:pStyle w:val="21"/>
              <w:rPr>
                <w:rFonts w:hint="default" w:eastAsia="方正书宋_GBK"/>
                <w:lang w:val="en-US" w:eastAsia="zh-CN"/>
              </w:rPr>
            </w:pPr>
            <w:r>
              <w:rPr>
                <w:rFonts w:hint="eastAsia"/>
                <w:lang w:val="en-US" w:eastAsia="zh-CN"/>
              </w:rPr>
              <w:t>579.70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5"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5" w:type="dxa"/>
            <w:vAlign w:val="center"/>
          </w:tcPr>
          <w:p>
            <w:pPr>
              <w:pStyle w:val="20"/>
            </w:pPr>
            <w:r>
              <w:rPr>
                <w:rFonts w:hint="eastAsia"/>
              </w:rPr>
              <w:t>收入总计</w:t>
            </w:r>
          </w:p>
        </w:tc>
        <w:tc>
          <w:tcPr>
            <w:tcW w:w="2126" w:type="dxa"/>
            <w:vAlign w:val="center"/>
          </w:tcPr>
          <w:p>
            <w:pPr>
              <w:pStyle w:val="21"/>
              <w:rPr>
                <w:rFonts w:hint="default" w:eastAsia="方正书宋_GBK"/>
                <w:lang w:val="en-US" w:eastAsia="zh-CN"/>
              </w:rPr>
            </w:pPr>
            <w:r>
              <w:rPr>
                <w:rFonts w:hint="eastAsia"/>
                <w:lang w:val="en-US" w:eastAsia="zh-CN"/>
              </w:rPr>
              <w:t>579.70</w:t>
            </w:r>
          </w:p>
        </w:tc>
        <w:tc>
          <w:tcPr>
            <w:tcW w:w="4535" w:type="dxa"/>
            <w:vAlign w:val="center"/>
          </w:tcPr>
          <w:p>
            <w:pPr>
              <w:pStyle w:val="20"/>
            </w:pPr>
            <w:r>
              <w:rPr>
                <w:rFonts w:hint="eastAsia"/>
              </w:rPr>
              <w:t>支出总计</w:t>
            </w:r>
          </w:p>
        </w:tc>
        <w:tc>
          <w:tcPr>
            <w:tcW w:w="2126" w:type="dxa"/>
            <w:vAlign w:val="center"/>
          </w:tcPr>
          <w:p>
            <w:pPr>
              <w:pStyle w:val="21"/>
              <w:rPr>
                <w:rFonts w:hint="default" w:eastAsia="方正书宋_GBK"/>
                <w:lang w:val="en-US" w:eastAsia="zh-CN"/>
              </w:rPr>
            </w:pPr>
            <w:r>
              <w:rPr>
                <w:rFonts w:hint="eastAsia"/>
                <w:lang w:val="en-US" w:eastAsia="zh-CN"/>
              </w:rPr>
              <w:t>579.70</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809001涞水县胡家庄乡人民政府本级</w:t>
            </w:r>
          </w:p>
        </w:tc>
        <w:tc>
          <w:tcPr>
            <w:tcW w:w="3402"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4</w:t>
            </w:r>
          </w:p>
        </w:tc>
        <w:tc>
          <w:tcPr>
            <w:tcW w:w="5670"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rPr>
                <w:rFonts w:hint="eastAsia"/>
              </w:rPr>
              <w:t>序号</w:t>
            </w:r>
          </w:p>
        </w:tc>
        <w:tc>
          <w:tcPr>
            <w:tcW w:w="2551" w:type="dxa"/>
            <w:gridSpan w:val="2"/>
            <w:vAlign w:val="center"/>
          </w:tcPr>
          <w:p>
            <w:pPr>
              <w:pStyle w:val="16"/>
            </w:pPr>
            <w:r>
              <w:rPr>
                <w:rFonts w:hint="eastAsia"/>
              </w:rPr>
              <w:t>功能分类科目</w:t>
            </w:r>
          </w:p>
        </w:tc>
        <w:tc>
          <w:tcPr>
            <w:tcW w:w="1134" w:type="dxa"/>
            <w:vMerge w:val="restart"/>
            <w:vAlign w:val="center"/>
          </w:tcPr>
          <w:p>
            <w:pPr>
              <w:pStyle w:val="16"/>
            </w:pPr>
            <w:r>
              <w:rPr>
                <w:rFonts w:hint="eastAsia"/>
              </w:rPr>
              <w:t>合计</w:t>
            </w:r>
          </w:p>
        </w:tc>
        <w:tc>
          <w:tcPr>
            <w:tcW w:w="9072" w:type="dxa"/>
            <w:gridSpan w:val="8"/>
            <w:vAlign w:val="center"/>
          </w:tcPr>
          <w:p>
            <w:pPr>
              <w:pStyle w:val="16"/>
            </w:pPr>
            <w:r>
              <w:rPr>
                <w:rFonts w:hint="eastAsia"/>
              </w:rPr>
              <w:t>本年收入</w:t>
            </w:r>
          </w:p>
        </w:tc>
        <w:tc>
          <w:tcPr>
            <w:tcW w:w="1134"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rPr>
                <w:rFonts w:hint="eastAsia"/>
              </w:rPr>
              <w:t>科目</w:t>
            </w:r>
            <w:r>
              <w:t xml:space="preserve">    </w:t>
            </w:r>
            <w:r>
              <w:rPr>
                <w:rFonts w:hint="eastAsia"/>
              </w:rPr>
              <w:t>编码</w:t>
            </w:r>
          </w:p>
        </w:tc>
        <w:tc>
          <w:tcPr>
            <w:tcW w:w="1559" w:type="dxa"/>
            <w:vAlign w:val="center"/>
          </w:tcPr>
          <w:p>
            <w:pPr>
              <w:pStyle w:val="16"/>
            </w:pPr>
            <w:r>
              <w:rPr>
                <w:rFonts w:hint="eastAsia"/>
              </w:rPr>
              <w:t>科目名称</w:t>
            </w:r>
          </w:p>
        </w:tc>
        <w:tc>
          <w:tcPr>
            <w:tcW w:w="1134" w:type="dxa"/>
            <w:vMerge w:val="continue"/>
          </w:tcPr>
          <w:p/>
        </w:tc>
        <w:tc>
          <w:tcPr>
            <w:tcW w:w="1134" w:type="dxa"/>
            <w:vAlign w:val="center"/>
          </w:tcPr>
          <w:p>
            <w:pPr>
              <w:pStyle w:val="16"/>
            </w:pPr>
            <w:r>
              <w:rPr>
                <w:rFonts w:hint="eastAsia"/>
              </w:rPr>
              <w:t>小计</w:t>
            </w:r>
          </w:p>
        </w:tc>
        <w:tc>
          <w:tcPr>
            <w:tcW w:w="1134" w:type="dxa"/>
            <w:vAlign w:val="center"/>
          </w:tcPr>
          <w:p>
            <w:pPr>
              <w:pStyle w:val="16"/>
            </w:pPr>
            <w:r>
              <w:rPr>
                <w:rFonts w:hint="eastAsia"/>
              </w:rPr>
              <w:t>财政拨款</w:t>
            </w:r>
            <w:r>
              <w:t xml:space="preserve"> </w:t>
            </w:r>
            <w:r>
              <w:rPr>
                <w:rFonts w:hint="eastAsia"/>
              </w:rPr>
              <w:t>收入</w:t>
            </w:r>
          </w:p>
        </w:tc>
        <w:tc>
          <w:tcPr>
            <w:tcW w:w="1134" w:type="dxa"/>
            <w:vAlign w:val="center"/>
          </w:tcPr>
          <w:p>
            <w:pPr>
              <w:pStyle w:val="16"/>
            </w:pPr>
            <w:r>
              <w:rPr>
                <w:rFonts w:hint="eastAsia"/>
              </w:rPr>
              <w:t>财政专户</w:t>
            </w:r>
            <w:r>
              <w:t xml:space="preserve"> </w:t>
            </w:r>
            <w:r>
              <w:rPr>
                <w:rFonts w:hint="eastAsia"/>
              </w:rPr>
              <w:t>收入</w:t>
            </w:r>
          </w:p>
        </w:tc>
        <w:tc>
          <w:tcPr>
            <w:tcW w:w="1134" w:type="dxa"/>
            <w:vAlign w:val="center"/>
          </w:tcPr>
          <w:p>
            <w:pPr>
              <w:pStyle w:val="16"/>
            </w:pPr>
            <w:r>
              <w:rPr>
                <w:rFonts w:hint="eastAsia"/>
              </w:rPr>
              <w:t>事业收入</w:t>
            </w:r>
          </w:p>
        </w:tc>
        <w:tc>
          <w:tcPr>
            <w:tcW w:w="1134" w:type="dxa"/>
            <w:vAlign w:val="center"/>
          </w:tcPr>
          <w:p>
            <w:pPr>
              <w:pStyle w:val="16"/>
            </w:pPr>
            <w:r>
              <w:rPr>
                <w:rFonts w:hint="eastAsia"/>
              </w:rPr>
              <w:t>经营收入</w:t>
            </w:r>
          </w:p>
        </w:tc>
        <w:tc>
          <w:tcPr>
            <w:tcW w:w="1134" w:type="dxa"/>
            <w:vAlign w:val="center"/>
          </w:tcPr>
          <w:p>
            <w:pPr>
              <w:pStyle w:val="16"/>
            </w:pPr>
            <w:r>
              <w:rPr>
                <w:rFonts w:hint="eastAsia"/>
              </w:rPr>
              <w:t>上级补助收入</w:t>
            </w:r>
          </w:p>
        </w:tc>
        <w:tc>
          <w:tcPr>
            <w:tcW w:w="1134" w:type="dxa"/>
            <w:vAlign w:val="center"/>
          </w:tcPr>
          <w:p>
            <w:pPr>
              <w:pStyle w:val="16"/>
            </w:pPr>
            <w:r>
              <w:rPr>
                <w:rFonts w:hint="eastAsia"/>
              </w:rPr>
              <w:t>附属单位上缴收入</w:t>
            </w:r>
          </w:p>
        </w:tc>
        <w:tc>
          <w:tcPr>
            <w:tcW w:w="1134" w:type="dxa"/>
            <w:vAlign w:val="center"/>
          </w:tcPr>
          <w:p>
            <w:pPr>
              <w:pStyle w:val="16"/>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rPr>
                <w:rFonts w:hint="eastAsia"/>
              </w:rP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559" w:type="dxa"/>
            <w:vAlign w:val="center"/>
          </w:tcPr>
          <w:p>
            <w:pPr>
              <w:pStyle w:val="20"/>
            </w:pPr>
            <w:r>
              <w:rPr>
                <w:rFonts w:hint="eastAsia"/>
              </w:rPr>
              <w:t>合计</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579.70</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579.70</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579.70</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zh-CN" w:bidi="ar-SA"/>
              </w:rPr>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一般公共服务支出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498.53</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498.53</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498.53</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zh-CN" w:bidi="ar-SA"/>
              </w:rPr>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政府办公厅（室）及相关机构事务</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498.53</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498.53</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498.53</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zh-CN" w:bidi="ar-SA"/>
              </w:rPr>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2010301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行政运行</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468.28</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468.28</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468.28</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zh-CN" w:bidi="ar-SA"/>
              </w:rPr>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2010302</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一般行政管理事务</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30.25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zh-CN" w:bidi="ar-SA"/>
              </w:rPr>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文化旅游体育与传媒支出</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zh-CN" w:bidi="ar-SA"/>
              </w:rPr>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20701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文化和旅游</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zh-CN" w:bidi="ar-SA"/>
              </w:rPr>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2070199</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其他文化和旅游支出</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zh-CN" w:bidi="ar-SA"/>
              </w:rPr>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社会保障和就业支出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34.73</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34.73</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34.73</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zh-CN" w:bidi="ar-SA"/>
              </w:rPr>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行政事业单位养老支出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34.73</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34.73</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34.73</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zh-CN" w:bidi="ar-SA"/>
              </w:rPr>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2080505</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机关事业单位基本养老保险缴费支出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34.73</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34.73</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34.73</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zh-CN" w:bidi="ar-SA"/>
              </w:rPr>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卫生健康支出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19.63</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19.63</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19.63</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zh-CN" w:bidi="ar-SA"/>
              </w:rPr>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行政事业单位医疗</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19.63</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19.63</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19.63</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zh-CN" w:bidi="ar-SA"/>
              </w:rPr>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2101101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行政单位医疗</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14.95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14.95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14.95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eastAsia="方正书宋_GBK"/>
                <w:lang w:val="en-US" w:eastAsia="zh-CN"/>
              </w:rPr>
            </w:pPr>
            <w:r>
              <w:rPr>
                <w:rFonts w:hint="eastAsia"/>
                <w:lang w:val="en-US" w:eastAsia="zh-CN"/>
              </w:rPr>
              <w:t>15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2101103</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公务员医疗补助</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4.68</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4.68</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4.68</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eastAsia="方正书宋_GBK"/>
                <w:lang w:val="en-US" w:eastAsia="zh-CN"/>
              </w:rPr>
            </w:pPr>
            <w:r>
              <w:rPr>
                <w:rFonts w:hint="eastAsia"/>
                <w:lang w:val="en-US" w:eastAsia="zh-CN"/>
              </w:rPr>
              <w:t>16</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住房保障支出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25.06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25.06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25.06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eastAsia="方正书宋_GBK"/>
                <w:lang w:eastAsia="zh-CN"/>
              </w:rPr>
            </w:pPr>
            <w:r>
              <w:t>1</w:t>
            </w:r>
            <w:r>
              <w:rPr>
                <w:rFonts w:hint="eastAsia"/>
                <w:lang w:val="en-US" w:eastAsia="zh-CN"/>
              </w:rPr>
              <w:t>7</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住房改革支出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25.06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25.06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25.06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eastAsia="方正书宋_GBK"/>
                <w:lang w:eastAsia="zh-CN"/>
              </w:rPr>
            </w:pPr>
            <w:r>
              <w:t>1</w:t>
            </w:r>
            <w:r>
              <w:rPr>
                <w:rFonts w:hint="eastAsia"/>
                <w:lang w:val="en-US" w:eastAsia="zh-CN"/>
              </w:rPr>
              <w:t>8</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2210201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住房公积金</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25.06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25.06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25.06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809001涞水县胡家庄乡人民政府本级</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6"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6" w:type="dxa"/>
            <w:vAlign w:val="center"/>
          </w:tcPr>
          <w:p>
            <w:pPr>
              <w:pStyle w:val="20"/>
            </w:pPr>
            <w:r>
              <w:rPr>
                <w:rFonts w:hint="eastAsia"/>
              </w:rPr>
              <w:t>合计</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579.70</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547.70</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32.00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一般公共服务支出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498.53</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468.28</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政府办公厅（室）及相关机构事务</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498.53</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468.28</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行政运行</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468.28</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468.28</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2010302</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一般行政管理事务</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文化旅游体育与传媒支出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文化和旅游</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2070199</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其他文化和旅游支出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社会保障和就业支出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34.73</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34.73</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20805</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行政事业单位养老支出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34.73</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34.73</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2080505</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机关事业单位基本养老保险缴费支出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34.73</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34.73</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卫生健康支出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19.63</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19.63</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21011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行政事业单位医疗</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19.63</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19.63</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2101101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行政单位医疗</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14.95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14.95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w:t>
            </w:r>
            <w:r>
              <w:rPr>
                <w:rFonts w:hint="eastAsia" w:ascii="方正书宋_GBK" w:hAnsi="方正书宋_GBK" w:eastAsia="方正书宋_GBK" w:cs="方正书宋_GBK"/>
                <w:sz w:val="21"/>
                <w:szCs w:val="24"/>
                <w:lang w:val="en-US" w:eastAsia="zh-CN" w:bidi="ar-SA"/>
              </w:rPr>
              <w:t>101103</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公务员医疗补助</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4.68</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4.68</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住房保障支出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25.06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25.06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22102</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住房改革支出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25.06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25.06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18</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2210201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住房公积金</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25.06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25.06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809001涞水县胡家庄乡人民政府本级</w:t>
            </w:r>
          </w:p>
        </w:tc>
        <w:tc>
          <w:tcPr>
            <w:tcW w:w="3402"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rPr>
                <w:rFonts w:hint="default" w:eastAsia="方正书宋_GBK"/>
                <w:lang w:val="en-US" w:eastAsia="zh-CN"/>
              </w:rPr>
            </w:pPr>
            <w:r>
              <w:rPr>
                <w:rFonts w:hint="eastAsia"/>
                <w:lang w:val="en-US" w:eastAsia="zh-CN"/>
              </w:rPr>
              <w:t>579.70</w:t>
            </w:r>
          </w:p>
        </w:tc>
        <w:tc>
          <w:tcPr>
            <w:tcW w:w="3402" w:type="dxa"/>
            <w:vAlign w:val="center"/>
          </w:tcPr>
          <w:p>
            <w:pPr>
              <w:pStyle w:val="18"/>
            </w:pPr>
            <w:r>
              <w:rPr>
                <w:rFonts w:hint="eastAsia"/>
              </w:rPr>
              <w:t>一、一般公共服务支出</w:t>
            </w:r>
          </w:p>
        </w:tc>
        <w:tc>
          <w:tcPr>
            <w:tcW w:w="1474" w:type="dxa"/>
            <w:vAlign w:val="center"/>
          </w:tcPr>
          <w:p>
            <w:pPr>
              <w:pStyle w:val="17"/>
              <w:rPr>
                <w:rFonts w:hint="default" w:eastAsia="方正书宋_GBK"/>
                <w:lang w:val="en-US" w:eastAsia="zh-CN"/>
              </w:rPr>
            </w:pPr>
            <w:r>
              <w:rPr>
                <w:rFonts w:hint="eastAsia"/>
                <w:lang w:val="en-US" w:eastAsia="zh-CN"/>
              </w:rPr>
              <w:t>498.53</w:t>
            </w:r>
          </w:p>
        </w:tc>
        <w:tc>
          <w:tcPr>
            <w:tcW w:w="1474" w:type="dxa"/>
            <w:vAlign w:val="center"/>
          </w:tcPr>
          <w:p>
            <w:pPr>
              <w:pStyle w:val="17"/>
              <w:rPr>
                <w:rFonts w:hint="default" w:eastAsia="方正书宋_GBK"/>
                <w:lang w:val="en-US" w:eastAsia="zh-CN"/>
              </w:rPr>
            </w:pPr>
            <w:r>
              <w:rPr>
                <w:rFonts w:hint="eastAsia"/>
                <w:lang w:val="en-US" w:eastAsia="zh-CN"/>
              </w:rPr>
              <w:t>498.53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r>
              <w:rPr>
                <w:rFonts w:hint="eastAsia"/>
              </w:rP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vAlign w:val="center"/>
          </w:tcPr>
          <w:p>
            <w:pPr>
              <w:pStyle w:val="17"/>
              <w:rPr>
                <w:rFonts w:hint="default" w:eastAsia="方正书宋_GBK"/>
                <w:lang w:val="en-US" w:eastAsia="zh-CN"/>
              </w:rPr>
            </w:pPr>
            <w:r>
              <w:rPr>
                <w:rFonts w:hint="eastAsia"/>
                <w:lang w:val="en-US" w:eastAsia="zh-CN"/>
              </w:rPr>
              <w:t>1.75</w:t>
            </w:r>
          </w:p>
        </w:tc>
        <w:tc>
          <w:tcPr>
            <w:tcW w:w="1474" w:type="dxa"/>
            <w:vAlign w:val="center"/>
          </w:tcPr>
          <w:p>
            <w:pPr>
              <w:pStyle w:val="17"/>
              <w:rPr>
                <w:rFonts w:hint="default" w:eastAsia="方正书宋_GBK"/>
                <w:lang w:val="en-US" w:eastAsia="zh-CN"/>
              </w:rPr>
            </w:pPr>
            <w:r>
              <w:rPr>
                <w:rFonts w:hint="eastAsia"/>
                <w:lang w:val="en-US" w:eastAsia="zh-CN"/>
              </w:rPr>
              <w:t>1.75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vAlign w:val="center"/>
          </w:tcPr>
          <w:p>
            <w:pPr>
              <w:pStyle w:val="17"/>
              <w:rPr>
                <w:rFonts w:hint="default" w:eastAsia="方正书宋_GBK"/>
                <w:lang w:val="en-US" w:eastAsia="zh-CN"/>
              </w:rPr>
            </w:pPr>
            <w:r>
              <w:rPr>
                <w:rFonts w:hint="eastAsia"/>
                <w:lang w:val="en-US" w:eastAsia="zh-CN"/>
              </w:rPr>
              <w:t>34.73</w:t>
            </w:r>
          </w:p>
        </w:tc>
        <w:tc>
          <w:tcPr>
            <w:tcW w:w="1474" w:type="dxa"/>
            <w:vAlign w:val="center"/>
          </w:tcPr>
          <w:p>
            <w:pPr>
              <w:pStyle w:val="17"/>
              <w:rPr>
                <w:rFonts w:hint="default" w:eastAsia="方正书宋_GBK"/>
                <w:lang w:val="en-US" w:eastAsia="zh-CN"/>
              </w:rPr>
            </w:pPr>
            <w:r>
              <w:rPr>
                <w:rFonts w:hint="eastAsia"/>
                <w:lang w:val="en-US" w:eastAsia="zh-CN"/>
              </w:rPr>
              <w:t>34.73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vAlign w:val="center"/>
          </w:tcPr>
          <w:p>
            <w:pPr>
              <w:pStyle w:val="17"/>
              <w:rPr>
                <w:rFonts w:hint="default" w:eastAsia="方正书宋_GBK"/>
                <w:lang w:val="en-US" w:eastAsia="zh-CN"/>
              </w:rPr>
            </w:pPr>
            <w:r>
              <w:rPr>
                <w:rFonts w:hint="eastAsia"/>
                <w:lang w:val="en-US" w:eastAsia="zh-CN"/>
              </w:rPr>
              <w:t>19.63</w:t>
            </w:r>
          </w:p>
        </w:tc>
        <w:tc>
          <w:tcPr>
            <w:tcW w:w="1474" w:type="dxa"/>
            <w:vAlign w:val="center"/>
          </w:tcPr>
          <w:p>
            <w:pPr>
              <w:pStyle w:val="17"/>
              <w:rPr>
                <w:rFonts w:hint="default" w:eastAsia="方正书宋_GBK"/>
                <w:lang w:val="en-US" w:eastAsia="zh-CN"/>
              </w:rPr>
            </w:pPr>
            <w:r>
              <w:rPr>
                <w:rFonts w:hint="eastAsia"/>
                <w:lang w:val="en-US" w:eastAsia="zh-CN"/>
              </w:rPr>
              <w:t>19.63</w:t>
            </w:r>
          </w:p>
        </w:tc>
        <w:tc>
          <w:tcPr>
            <w:tcW w:w="1474" w:type="dxa"/>
            <w:vAlign w:val="center"/>
          </w:tcPr>
          <w:p>
            <w:pPr>
              <w:pStyle w:val="17"/>
              <w:rPr>
                <w:rFonts w:hint="default"/>
                <w:lang w:val="en-US"/>
              </w:rPr>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vAlign w:val="center"/>
          </w:tcPr>
          <w:p>
            <w:pPr>
              <w:pStyle w:val="17"/>
              <w:rPr>
                <w:rFonts w:hint="default" w:eastAsia="方正书宋_GBK"/>
                <w:lang w:val="en-US" w:eastAsia="zh-CN"/>
              </w:rPr>
            </w:pPr>
            <w:r>
              <w:rPr>
                <w:rFonts w:hint="eastAsia"/>
                <w:lang w:val="en-US" w:eastAsia="zh-CN"/>
              </w:rPr>
              <w:t>25.06</w:t>
            </w:r>
          </w:p>
        </w:tc>
        <w:tc>
          <w:tcPr>
            <w:tcW w:w="1474" w:type="dxa"/>
            <w:vAlign w:val="center"/>
          </w:tcPr>
          <w:p>
            <w:pPr>
              <w:pStyle w:val="17"/>
              <w:rPr>
                <w:rFonts w:hint="default" w:eastAsia="方正书宋_GBK"/>
                <w:lang w:val="en-US" w:eastAsia="zh-CN"/>
              </w:rPr>
            </w:pPr>
            <w:r>
              <w:rPr>
                <w:rFonts w:hint="eastAsia"/>
                <w:lang w:val="en-US" w:eastAsia="zh-CN"/>
              </w:rPr>
              <w:t>25.06</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pStyle w:val="21"/>
              <w:rPr>
                <w:rFonts w:hint="default"/>
                <w:lang w:val="en-US"/>
              </w:rPr>
            </w:pPr>
            <w:r>
              <w:rPr>
                <w:rFonts w:hint="eastAsia"/>
                <w:lang w:val="en-US" w:eastAsia="zh-CN"/>
              </w:rPr>
              <w:t>579.70</w:t>
            </w:r>
          </w:p>
        </w:tc>
        <w:tc>
          <w:tcPr>
            <w:tcW w:w="3402" w:type="dxa"/>
            <w:vAlign w:val="center"/>
          </w:tcPr>
          <w:p>
            <w:pPr>
              <w:pStyle w:val="20"/>
            </w:pPr>
            <w:r>
              <w:rPr>
                <w:rFonts w:hint="eastAsia"/>
              </w:rPr>
              <w:t>本年支出合计</w:t>
            </w:r>
          </w:p>
        </w:tc>
        <w:tc>
          <w:tcPr>
            <w:tcW w:w="1474" w:type="dxa"/>
            <w:vAlign w:val="center"/>
          </w:tcPr>
          <w:p>
            <w:pPr>
              <w:pStyle w:val="21"/>
              <w:rPr>
                <w:rFonts w:hint="default" w:eastAsia="方正书宋_GBK"/>
                <w:lang w:val="en-US" w:eastAsia="zh-CN"/>
              </w:rPr>
            </w:pPr>
            <w:r>
              <w:rPr>
                <w:rFonts w:hint="eastAsia"/>
                <w:lang w:val="en-US" w:eastAsia="zh-CN"/>
              </w:rPr>
              <w:t>579.70</w:t>
            </w:r>
          </w:p>
        </w:tc>
        <w:tc>
          <w:tcPr>
            <w:tcW w:w="1474" w:type="dxa"/>
            <w:vAlign w:val="center"/>
          </w:tcPr>
          <w:p>
            <w:pPr>
              <w:pStyle w:val="21"/>
              <w:rPr>
                <w:rFonts w:hint="default" w:eastAsia="方正书宋_GBK"/>
                <w:lang w:val="en-US" w:eastAsia="zh-CN"/>
              </w:rPr>
            </w:pPr>
            <w:r>
              <w:rPr>
                <w:rFonts w:hint="eastAsia"/>
                <w:lang w:val="en-US" w:eastAsia="zh-CN"/>
              </w:rPr>
              <w:t>579.70</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pStyle w:val="17"/>
            </w:pPr>
          </w:p>
        </w:tc>
        <w:tc>
          <w:tcPr>
            <w:tcW w:w="3402" w:type="dxa"/>
            <w:vAlign w:val="center"/>
          </w:tcPr>
          <w:p>
            <w:pPr>
              <w:pStyle w:val="18"/>
            </w:pPr>
            <w:r>
              <w:rPr>
                <w:rFonts w:hint="eastAsia"/>
              </w:rP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vAlign w:val="center"/>
          </w:tcPr>
          <w:p>
            <w:pPr>
              <w:pStyle w:val="21"/>
              <w:rPr>
                <w:rFonts w:hint="default"/>
                <w:lang w:val="en-US"/>
              </w:rPr>
            </w:pPr>
            <w:r>
              <w:rPr>
                <w:rFonts w:hint="eastAsia"/>
                <w:lang w:val="en-US" w:eastAsia="zh-CN"/>
              </w:rPr>
              <w:t>579.70</w:t>
            </w:r>
          </w:p>
        </w:tc>
        <w:tc>
          <w:tcPr>
            <w:tcW w:w="3402" w:type="dxa"/>
            <w:vAlign w:val="center"/>
          </w:tcPr>
          <w:p>
            <w:pPr>
              <w:pStyle w:val="20"/>
              <w:rPr>
                <w:rFonts w:hint="default"/>
                <w:lang w:val="en-US"/>
              </w:rPr>
            </w:pPr>
          </w:p>
        </w:tc>
        <w:tc>
          <w:tcPr>
            <w:tcW w:w="1474" w:type="dxa"/>
            <w:vAlign w:val="center"/>
          </w:tcPr>
          <w:p>
            <w:pPr>
              <w:pStyle w:val="21"/>
              <w:rPr>
                <w:rFonts w:hint="default"/>
                <w:lang w:val="en-US"/>
              </w:rPr>
            </w:pPr>
            <w:r>
              <w:rPr>
                <w:rFonts w:hint="eastAsia"/>
                <w:lang w:val="en-US" w:eastAsia="zh-CN"/>
              </w:rPr>
              <w:t>579.70</w:t>
            </w:r>
          </w:p>
        </w:tc>
        <w:tc>
          <w:tcPr>
            <w:tcW w:w="1474" w:type="dxa"/>
            <w:vAlign w:val="center"/>
          </w:tcPr>
          <w:p>
            <w:pPr>
              <w:pStyle w:val="21"/>
              <w:rPr>
                <w:rFonts w:hint="default" w:eastAsia="方正书宋_GBK"/>
                <w:lang w:val="en-US" w:eastAsia="zh-CN"/>
              </w:rPr>
            </w:pPr>
            <w:r>
              <w:rPr>
                <w:rFonts w:hint="eastAsia"/>
                <w:lang w:val="en-US" w:eastAsia="zh-CN"/>
              </w:rPr>
              <w:t>579.70</w:t>
            </w:r>
          </w:p>
        </w:tc>
        <w:tc>
          <w:tcPr>
            <w:tcW w:w="1474" w:type="dxa"/>
            <w:vAlign w:val="center"/>
          </w:tcPr>
          <w:p>
            <w:pPr>
              <w:pStyle w:val="21"/>
              <w:rPr>
                <w:rFonts w:hint="default"/>
                <w:lang w:val="en-US"/>
              </w:rPr>
            </w:pPr>
          </w:p>
        </w:tc>
        <w:tc>
          <w:tcPr>
            <w:tcW w:w="1474" w:type="dxa"/>
            <w:vAlign w:val="center"/>
          </w:tcPr>
          <w:p>
            <w:pPr>
              <w:pStyle w:val="21"/>
            </w:pPr>
          </w:p>
        </w:tc>
      </w:tr>
    </w:tbl>
    <w:p>
      <w:pPr>
        <w:rPr>
          <w:rFonts w:hint="eastAsia"/>
          <w:lang w:eastAsia="zh-CN"/>
        </w:r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809001涞水县胡家庄乡人民政府本级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方正书宋_GBK" w:hAnsi="方正书宋_GBK" w:eastAsia="方正书宋_GBK" w:cs="方正书宋_GBK"/>
                <w:b/>
                <w:sz w:val="21"/>
                <w:szCs w:val="24"/>
                <w:lang w:val="en-US" w:eastAsia="zh-CN" w:bidi="ar-SA"/>
              </w:rPr>
              <w:t>579.70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b/>
                <w:sz w:val="21"/>
                <w:szCs w:val="24"/>
                <w:lang w:val="en-US" w:eastAsia="zh-CN" w:bidi="ar-SA"/>
              </w:rPr>
              <w:t>547.70</w:t>
            </w:r>
          </w:p>
        </w:tc>
        <w:tc>
          <w:tcPr>
            <w:tcW w:w="2551" w:type="dxa"/>
            <w:vAlign w:val="center"/>
          </w:tcPr>
          <w:p>
            <w:pPr>
              <w:pStyle w:val="21"/>
              <w:rPr>
                <w:rFonts w:hint="default" w:eastAsia="方正书宋_GBK"/>
                <w:lang w:val="en-US" w:eastAsia="zh-CN"/>
              </w:rPr>
            </w:pPr>
            <w:r>
              <w:rPr>
                <w:rFonts w:hint="eastAsia"/>
                <w:lang w:val="en-US" w:eastAsia="zh-CN"/>
              </w:rP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一般公共服务支出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498.53</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468.28</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政府办公厅（室）及相关机构事务</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498.53</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468.28</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2010301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行政运行</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468.28</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468.28</w:t>
            </w:r>
          </w:p>
        </w:tc>
        <w:tc>
          <w:tcPr>
            <w:tcW w:w="2551" w:type="dxa"/>
            <w:vAlign w:val="top"/>
          </w:tcPr>
          <w:p>
            <w:pPr>
              <w:jc w:val="right"/>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2010302</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一般行政管理事务</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30.25</w:t>
            </w:r>
          </w:p>
        </w:tc>
        <w:tc>
          <w:tcPr>
            <w:tcW w:w="2551" w:type="dxa"/>
            <w:vAlign w:val="top"/>
          </w:tcPr>
          <w:p>
            <w:pPr>
              <w:jc w:val="right"/>
              <w:rPr>
                <w:rFonts w:hint="default"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文化旅游体育与传媒支出</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2551" w:type="dxa"/>
            <w:vAlign w:val="top"/>
          </w:tcPr>
          <w:p>
            <w:pPr>
              <w:jc w:val="right"/>
              <w:rPr>
                <w:rFonts w:hint="eastAsia"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20701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文化和旅游</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2551" w:type="dxa"/>
            <w:vAlign w:val="top"/>
          </w:tcPr>
          <w:p>
            <w:pPr>
              <w:jc w:val="right"/>
              <w:rPr>
                <w:rFonts w:hint="eastAsia"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2070199</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其他文化和旅游支出</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2551" w:type="dxa"/>
            <w:vAlign w:val="top"/>
          </w:tcPr>
          <w:p>
            <w:pPr>
              <w:jc w:val="right"/>
              <w:rPr>
                <w:rFonts w:hint="eastAsia"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社会保障和就业支出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34.73</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34.73</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行政事业单位养老支出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34.73</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34.73</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2080505</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机关事业单位基本养老保险缴费支出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34.73</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34.73</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卫生健康支出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19.63</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19.63</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行政事业单位医疗</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19.63</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19.63</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2101101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行政单位医疗</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14.95</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14.95</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15</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2101103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公务员医疗补助</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4.68</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4.68</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t>1</w:t>
            </w:r>
            <w:r>
              <w:rPr>
                <w:rFonts w:hint="eastAsia"/>
                <w:lang w:val="en-US" w:eastAsia="zh-CN"/>
              </w:rPr>
              <w:t>6</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住房保障支出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25.06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25.06</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val="en-US" w:eastAsia="zh-CN"/>
              </w:rPr>
            </w:pPr>
            <w:r>
              <w:t>1</w:t>
            </w:r>
            <w:r>
              <w:rPr>
                <w:rFonts w:hint="eastAsia"/>
                <w:lang w:val="en-US" w:eastAsia="zh-CN"/>
              </w:rPr>
              <w:t>7</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住房改革支出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25.06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25.06</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val="en-US" w:eastAsia="zh-CN"/>
              </w:rPr>
            </w:pPr>
            <w:r>
              <w:t>1</w:t>
            </w:r>
            <w:r>
              <w:rPr>
                <w:rFonts w:hint="eastAsia"/>
                <w:lang w:val="en-US" w:eastAsia="zh-CN"/>
              </w:rPr>
              <w:t>8</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2210201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住房公积金</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25.06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25.06</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bl>
    <w:p>
      <w:p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809001涞水县胡家庄乡人民政府本级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b/>
                <w:sz w:val="21"/>
                <w:szCs w:val="24"/>
                <w:lang w:val="en-US" w:eastAsia="zh-CN" w:bidi="ar-SA"/>
              </w:rPr>
              <w:t>547.70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方正书宋_GBK" w:hAnsi="方正书宋_GBK" w:eastAsia="方正书宋_GBK" w:cs="方正书宋_GBK"/>
                <w:b/>
                <w:sz w:val="21"/>
                <w:szCs w:val="24"/>
                <w:lang w:val="en-US" w:eastAsia="zh-CN" w:bidi="ar-SA"/>
              </w:rPr>
              <w:t>487.02</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方正书宋_GBK" w:hAnsi="方正书宋_GBK" w:eastAsia="方正书宋_GBK" w:cs="方正书宋_GBK"/>
                <w:b/>
                <w:sz w:val="21"/>
                <w:szCs w:val="24"/>
                <w:lang w:val="en-US" w:eastAsia="zh-CN" w:bidi="ar-SA"/>
              </w:rPr>
              <w:t>60.68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工资福利支出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485.42</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485.42</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30101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基本工资</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258.91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258.91</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30102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津贴补贴</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75.00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75.00</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30103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奖金</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21.55</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21.55</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30107</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绩效工资</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48.74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48.74</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30108</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机关事业单位基本养老保险缴费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34.73</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34.73</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30110</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城镇职工基本医疗保险缴费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14.95</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14.95</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3011</w:t>
            </w:r>
            <w:r>
              <w:rPr>
                <w:rFonts w:hint="eastAsia" w:ascii="方正书宋_GBK" w:hAnsi="方正书宋_GBK" w:eastAsia="方正书宋_GBK" w:cs="方正书宋_GBK"/>
                <w:sz w:val="21"/>
                <w:szCs w:val="24"/>
                <w:lang w:val="en-US" w:eastAsia="zh-CN" w:bidi="ar-SA"/>
              </w:rPr>
              <w:t>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公务员医疗补助缴费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4.68</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4.68</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10</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30112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其他社会保障缴费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1.80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1.80</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val="en-US" w:eastAsia="zh-CN"/>
              </w:rPr>
            </w:pPr>
            <w:r>
              <w:t>1</w:t>
            </w:r>
            <w:r>
              <w:rPr>
                <w:rFonts w:hint="eastAsia"/>
                <w:lang w:val="en-US" w:eastAsia="zh-CN"/>
              </w:rPr>
              <w:t>1</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30113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住房公积金</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25.06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25.06</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val="en-US" w:eastAsia="zh-CN"/>
              </w:rPr>
            </w:pPr>
            <w:r>
              <w:t>1</w:t>
            </w:r>
            <w:r>
              <w:rPr>
                <w:rFonts w:hint="eastAsia"/>
                <w:lang w:val="en-US" w:eastAsia="zh-CN"/>
              </w:rPr>
              <w:t>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商品和服务支出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60.68</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60.68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val="en-US" w:eastAsia="zh-CN"/>
              </w:rPr>
            </w:pPr>
            <w:r>
              <w:t>1</w:t>
            </w:r>
            <w:r>
              <w:rPr>
                <w:rFonts w:hint="eastAsia"/>
                <w:lang w:val="en-US" w:eastAsia="zh-CN"/>
              </w:rPr>
              <w:t>3</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30201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办公费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14.99</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14.99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val="en-US" w:eastAsia="zh-CN"/>
              </w:rPr>
            </w:pPr>
            <w:r>
              <w:t>1</w:t>
            </w:r>
            <w:r>
              <w:rPr>
                <w:rFonts w:hint="eastAsia"/>
                <w:lang w:val="en-US" w:eastAsia="zh-CN"/>
              </w:rPr>
              <w:t>4</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30207</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邮电费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0.18</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val="en-US" w:eastAsia="zh-CN"/>
              </w:rPr>
            </w:pPr>
            <w:r>
              <w:t>1</w:t>
            </w:r>
            <w:r>
              <w:rPr>
                <w:rFonts w:hint="eastAsia"/>
                <w:lang w:val="en-US" w:eastAsia="zh-CN"/>
              </w:rPr>
              <w:t>5</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30208</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取暖费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6.00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val="en-US" w:eastAsia="zh-CN"/>
              </w:rPr>
            </w:pPr>
            <w:r>
              <w:t>1</w:t>
            </w:r>
            <w:r>
              <w:rPr>
                <w:rFonts w:hint="eastAsia"/>
                <w:lang w:val="en-US" w:eastAsia="zh-CN"/>
              </w:rPr>
              <w:t>6</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30226</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劳务费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17.66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val="en-US" w:eastAsia="zh-CN"/>
              </w:rPr>
            </w:pPr>
            <w:r>
              <w:t>1</w:t>
            </w:r>
            <w:r>
              <w:rPr>
                <w:rFonts w:hint="eastAsia"/>
                <w:lang w:val="en-US" w:eastAsia="zh-CN"/>
              </w:rPr>
              <w:t>7</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30228</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工会经费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4.31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val="en-US" w:eastAsia="zh-CN"/>
              </w:rPr>
            </w:pPr>
            <w:r>
              <w:t>1</w:t>
            </w:r>
            <w:r>
              <w:rPr>
                <w:rFonts w:hint="eastAsia"/>
                <w:lang w:val="en-US" w:eastAsia="zh-CN"/>
              </w:rPr>
              <w:t>8</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30229</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福利费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5.26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19</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30231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公务用车运行维护费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20</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30239</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其他交通费用</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9.96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21</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30299</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其他商品和服务支出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0.32</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303</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对个人和家庭的补助</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1.60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1.60</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23</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30305</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生活补助</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1.60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1.60</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809001涞水县胡家庄乡人民政府本级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809001涞水县胡家庄乡人民政府本级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809001涞水县胡家庄乡人民政府本级</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rPr>
                <w:rFonts w:hint="eastAsia"/>
              </w:rPr>
              <w:t>合计</w:t>
            </w:r>
          </w:p>
        </w:tc>
        <w:tc>
          <w:tcPr>
            <w:tcW w:w="2382" w:type="dxa"/>
            <w:vAlign w:val="center"/>
          </w:tcPr>
          <w:p>
            <w:pPr>
              <w:pStyle w:val="21"/>
              <w:rPr>
                <w:rFonts w:hint="default" w:eastAsia="方正书宋_GBK"/>
                <w:lang w:val="en-US" w:eastAsia="zh-CN"/>
              </w:rPr>
            </w:pPr>
            <w:r>
              <w:rPr>
                <w:rFonts w:hint="eastAsia"/>
                <w:lang w:val="en-US" w:eastAsia="zh-CN"/>
              </w:rPr>
              <w:t>2.00</w:t>
            </w:r>
          </w:p>
        </w:tc>
        <w:tc>
          <w:tcPr>
            <w:tcW w:w="2381" w:type="dxa"/>
            <w:vAlign w:val="center"/>
          </w:tcPr>
          <w:p>
            <w:pPr>
              <w:pStyle w:val="21"/>
              <w:rPr>
                <w:rFonts w:hint="default" w:eastAsia="方正书宋_GBK"/>
                <w:lang w:val="en-US" w:eastAsia="zh-CN"/>
              </w:rPr>
            </w:pPr>
            <w:r>
              <w:rPr>
                <w:rFonts w:hint="eastAsia"/>
                <w:lang w:val="en-US" w:eastAsia="zh-CN"/>
              </w:rPr>
              <w:t>2.00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rPr>
                <w:rFonts w:hint="eastAsia"/>
              </w:rPr>
              <w:t>“三公”经费小计</w:t>
            </w:r>
          </w:p>
        </w:tc>
        <w:tc>
          <w:tcPr>
            <w:tcW w:w="2382"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2.00</w:t>
            </w:r>
          </w:p>
        </w:tc>
        <w:tc>
          <w:tcPr>
            <w:tcW w:w="2381"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2.00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3798" w:type="dxa"/>
            <w:vAlign w:val="center"/>
          </w:tcPr>
          <w:p>
            <w:pPr>
              <w:pStyle w:val="18"/>
            </w:pPr>
            <w:r>
              <w:rPr>
                <w:rFonts w:hint="eastAsia"/>
              </w:rPr>
              <w:t>一、因公出国（境）费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4</w:t>
            </w:r>
          </w:p>
        </w:tc>
        <w:tc>
          <w:tcPr>
            <w:tcW w:w="3798" w:type="dxa"/>
            <w:vAlign w:val="center"/>
          </w:tcPr>
          <w:p>
            <w:pPr>
              <w:pStyle w:val="18"/>
            </w:pPr>
            <w:r>
              <w:t xml:space="preserve">    </w:t>
            </w:r>
            <w:r>
              <w:rPr>
                <w:rFonts w:hint="eastAsia"/>
              </w:rPr>
              <w:t>其中：教学科研人员因公出国（境）费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5</w:t>
            </w:r>
          </w:p>
        </w:tc>
        <w:tc>
          <w:tcPr>
            <w:tcW w:w="3798" w:type="dxa"/>
            <w:vAlign w:val="center"/>
          </w:tcPr>
          <w:p>
            <w:pPr>
              <w:pStyle w:val="18"/>
            </w:pPr>
            <w:r>
              <w:t xml:space="preserve">          </w:t>
            </w:r>
            <w:r>
              <w:rPr>
                <w:rFonts w:hint="eastAsia"/>
              </w:rPr>
              <w:t>其他因公出国（境）费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3798" w:type="dxa"/>
            <w:vAlign w:val="center"/>
          </w:tcPr>
          <w:p>
            <w:pPr>
              <w:pStyle w:val="18"/>
            </w:pPr>
            <w:r>
              <w:rPr>
                <w:rFonts w:hint="eastAsia"/>
              </w:rPr>
              <w:t>二、公务用车购置及运维费</w:t>
            </w:r>
          </w:p>
        </w:tc>
        <w:tc>
          <w:tcPr>
            <w:tcW w:w="238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2.00</w:t>
            </w:r>
          </w:p>
        </w:tc>
        <w:tc>
          <w:tcPr>
            <w:tcW w:w="238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7</w:t>
            </w:r>
          </w:p>
        </w:tc>
        <w:tc>
          <w:tcPr>
            <w:tcW w:w="3798" w:type="dxa"/>
            <w:vAlign w:val="center"/>
          </w:tcPr>
          <w:p>
            <w:pPr>
              <w:pStyle w:val="18"/>
            </w:pPr>
            <w:r>
              <w:t xml:space="preserve">    </w:t>
            </w:r>
            <w:r>
              <w:rPr>
                <w:rFonts w:hint="eastAsia"/>
              </w:rPr>
              <w:t>其中：公务用车购置费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8</w:t>
            </w:r>
          </w:p>
        </w:tc>
        <w:tc>
          <w:tcPr>
            <w:tcW w:w="3798" w:type="dxa"/>
            <w:vAlign w:val="center"/>
          </w:tcPr>
          <w:p>
            <w:pPr>
              <w:pStyle w:val="18"/>
            </w:pPr>
            <w:r>
              <w:t xml:space="preserve">          </w:t>
            </w:r>
            <w:r>
              <w:rPr>
                <w:rFonts w:hint="eastAsia"/>
              </w:rPr>
              <w:t>公务用车运行维护费</w:t>
            </w:r>
          </w:p>
        </w:tc>
        <w:tc>
          <w:tcPr>
            <w:tcW w:w="2382" w:type="dxa"/>
            <w:vAlign w:val="center"/>
          </w:tcPr>
          <w:p>
            <w:pPr>
              <w:pStyle w:val="17"/>
              <w:rPr>
                <w:rFonts w:hint="default" w:eastAsia="方正书宋_GBK"/>
                <w:lang w:val="en-US" w:eastAsia="zh-CN"/>
              </w:rPr>
            </w:pPr>
            <w:r>
              <w:rPr>
                <w:rFonts w:hint="eastAsia"/>
                <w:lang w:val="en-US" w:eastAsia="zh-CN"/>
              </w:rPr>
              <w:t>2.00</w:t>
            </w:r>
          </w:p>
        </w:tc>
        <w:tc>
          <w:tcPr>
            <w:tcW w:w="2381" w:type="dxa"/>
            <w:vAlign w:val="center"/>
          </w:tcPr>
          <w:p>
            <w:pPr>
              <w:pStyle w:val="17"/>
              <w:rPr>
                <w:rFonts w:hint="default" w:eastAsia="方正书宋_GBK"/>
                <w:lang w:val="en-US" w:eastAsia="zh-CN"/>
              </w:rPr>
            </w:pPr>
            <w:r>
              <w:rPr>
                <w:rFonts w:hint="eastAsia"/>
                <w:lang w:val="en-US" w:eastAsia="zh-CN"/>
              </w:rPr>
              <w:t>2.00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9</w:t>
            </w:r>
          </w:p>
        </w:tc>
        <w:tc>
          <w:tcPr>
            <w:tcW w:w="3798" w:type="dxa"/>
            <w:vAlign w:val="center"/>
          </w:tcPr>
          <w:p>
            <w:pPr>
              <w:pStyle w:val="18"/>
            </w:pPr>
            <w:r>
              <w:rPr>
                <w:rFonts w:hint="eastAsia"/>
              </w:rPr>
              <w:t>三、公务接待费</w:t>
            </w:r>
          </w:p>
        </w:tc>
        <w:tc>
          <w:tcPr>
            <w:tcW w:w="2382" w:type="dxa"/>
            <w:vAlign w:val="center"/>
          </w:tcPr>
          <w:p>
            <w:pPr>
              <w:pStyle w:val="17"/>
              <w:rPr>
                <w:rFonts w:hint="default" w:eastAsia="方正书宋_GBK"/>
                <w:lang w:val="en-US" w:eastAsia="zh-CN"/>
              </w:rPr>
            </w:pPr>
          </w:p>
        </w:tc>
        <w:tc>
          <w:tcPr>
            <w:tcW w:w="2381" w:type="dxa"/>
            <w:vAlign w:val="center"/>
          </w:tcPr>
          <w:p>
            <w:pPr>
              <w:pStyle w:val="17"/>
              <w:rPr>
                <w:rFonts w:hint="default" w:eastAsia="方正书宋_GBK"/>
                <w:lang w:val="en-US" w:eastAsia="zh-CN"/>
              </w:rPr>
            </w:pPr>
          </w:p>
        </w:tc>
        <w:tc>
          <w:tcPr>
            <w:tcW w:w="2381" w:type="dxa"/>
            <w:vAlign w:val="center"/>
          </w:tcPr>
          <w:p>
            <w:pPr>
              <w:pStyle w:val="17"/>
            </w:pPr>
          </w:p>
        </w:tc>
        <w:tc>
          <w:tcPr>
            <w:tcW w:w="2381" w:type="dxa"/>
            <w:vAlign w:val="center"/>
          </w:tcPr>
          <w:p>
            <w:pPr>
              <w:pStyle w:val="17"/>
            </w:pPr>
          </w:p>
        </w:tc>
      </w:tr>
    </w:tbl>
    <w:p>
      <w:pPr>
        <w:sectPr>
          <w:type w:val="continuous"/>
          <w:pgSz w:w="16840" w:h="11900" w:orient="landscape"/>
          <w:pgMar w:top="1361" w:right="1021" w:bottom="1361" w:left="1021" w:header="720" w:footer="720" w:gutter="0"/>
          <w:cols w:space="720" w:num="1"/>
        </w:sect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涞水县胡家庄乡人民政府本级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涞水县胡家庄乡人民政府本级</w:t>
      </w: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3"/>
        <w:rPr>
          <w:rFonts w:hint="eastAsia"/>
          <w:lang w:eastAsia="zh-CN"/>
        </w:rPr>
      </w:pPr>
      <w:r>
        <w:rPr>
          <w:rFonts w:hint="eastAsia"/>
          <w:lang w:eastAsia="zh-CN"/>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23"/>
        <w:rPr>
          <w:rFonts w:hint="eastAsia"/>
          <w:lang w:eastAsia="zh-CN"/>
        </w:rPr>
      </w:pPr>
      <w:r>
        <w:rPr>
          <w:rFonts w:hint="eastAsia"/>
          <w:lang w:eastAsia="zh-CN"/>
        </w:rPr>
        <w:t>（二）加强党对基层治理的全面领导，统筹抓好基层党建工作和基层党组织建设各项制度。推进全面从严治党，强化“两个责任”， 确保党的路线方针政策在基层得到全面贯彻落实。</w:t>
      </w:r>
    </w:p>
    <w:p>
      <w:pPr>
        <w:pStyle w:val="23"/>
        <w:rPr>
          <w:rFonts w:hint="eastAsia"/>
          <w:lang w:eastAsia="zh-CN"/>
        </w:rPr>
      </w:pPr>
      <w:r>
        <w:rPr>
          <w:rFonts w:hint="eastAsia"/>
          <w:lang w:eastAsia="zh-CN"/>
        </w:rPr>
        <w:t>（三）讨论和决定本镇经济建设、政治建设、文化建设、社会建设、生态文明建设和党的建设以及乡村振兴中的重大问题。</w:t>
      </w:r>
    </w:p>
    <w:p>
      <w:pPr>
        <w:pStyle w:val="23"/>
        <w:rPr>
          <w:rFonts w:hint="eastAsia"/>
          <w:lang w:eastAsia="zh-CN"/>
        </w:rPr>
      </w:pPr>
      <w:r>
        <w:rPr>
          <w:rFonts w:hint="eastAsia"/>
          <w:lang w:eastAsia="zh-CN"/>
        </w:rPr>
        <w:t>（四）组织召开本级人民代表大会，充分行使重大事项决定权、监督权和任免权，做好人大代表工作，联系选民、反映群众意见和要求。</w:t>
      </w:r>
    </w:p>
    <w:p>
      <w:pPr>
        <w:pStyle w:val="23"/>
        <w:rPr>
          <w:rFonts w:hint="eastAsia"/>
          <w:lang w:eastAsia="zh-CN"/>
        </w:rPr>
      </w:pPr>
      <w:r>
        <w:rPr>
          <w:rFonts w:hint="eastAsia"/>
          <w:lang w:eastAsia="zh-CN"/>
        </w:rPr>
        <w:t>（五）组织实施与群众生活密切相关的各项公共服务，落实基层“最多跑一次”改革工作，拓宽服务渠道，改进服务方式，建立健全群众办事一次办结机制，推进镇便民服务平台标准化建设，实行“一站式服务”“一枚印章管审批（服务）”， 提升群众获得感和幸福感。</w:t>
      </w:r>
    </w:p>
    <w:p>
      <w:pPr>
        <w:pStyle w:val="23"/>
        <w:rPr>
          <w:rFonts w:hint="eastAsia"/>
          <w:lang w:eastAsia="zh-CN"/>
        </w:rPr>
      </w:pPr>
      <w:r>
        <w:rPr>
          <w:rFonts w:hint="eastAsia"/>
          <w:lang w:eastAsia="zh-CN"/>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23"/>
        <w:rPr>
          <w:rFonts w:hint="eastAsia"/>
          <w:lang w:eastAsia="zh-CN"/>
        </w:rPr>
      </w:pPr>
      <w:r>
        <w:rPr>
          <w:rFonts w:hint="eastAsia"/>
          <w:lang w:eastAsia="zh-CN"/>
        </w:rPr>
        <w:t>（七）镇党委领导镇政权机关、群团组织和其他各类组织，</w:t>
      </w:r>
    </w:p>
    <w:p>
      <w:pPr>
        <w:pStyle w:val="23"/>
        <w:rPr>
          <w:rFonts w:hint="eastAsia"/>
          <w:lang w:eastAsia="zh-CN"/>
        </w:rPr>
      </w:pPr>
      <w:r>
        <w:rPr>
          <w:rFonts w:hint="eastAsia"/>
          <w:lang w:eastAsia="zh-CN"/>
        </w:rPr>
        <w:t>加强指导和规范，支持和保证这些机关和组织依照国家法律法规以及各自章程履行职责。坚持党管武装的根本原则和制度，协调各方力量，对镇人民武装工作实行统一领导。</w:t>
      </w:r>
    </w:p>
    <w:p>
      <w:pPr>
        <w:pStyle w:val="23"/>
        <w:rPr>
          <w:rFonts w:hint="eastAsia"/>
          <w:lang w:eastAsia="zh-CN"/>
        </w:rPr>
      </w:pPr>
      <w:r>
        <w:rPr>
          <w:rFonts w:hint="eastAsia"/>
          <w:lang w:eastAsia="zh-CN"/>
        </w:rPr>
        <w:t>（八）加强镇党委自身建设和村党组织建设，以及其他隶属镇党委的党组织建设，抓好发展党员工作，加强党员队伍建设。维护和执行党的纪律，监督党员干部和其他任何工作人员严格遵守国家法律法规。</w:t>
      </w:r>
    </w:p>
    <w:p>
      <w:pPr>
        <w:pStyle w:val="23"/>
        <w:rPr>
          <w:rFonts w:hint="eastAsia"/>
          <w:lang w:eastAsia="zh-CN"/>
        </w:rPr>
      </w:pPr>
      <w:r>
        <w:rPr>
          <w:rFonts w:hint="eastAsia"/>
          <w:lang w:eastAsia="zh-CN"/>
        </w:rPr>
        <w:t>（九）按照干部管理权限，负责对干部的教育、培训、选拔、考核和监督工作。协助管理上级有关部门驻本镇单位的干部。做好人才服务工作。</w:t>
      </w:r>
    </w:p>
    <w:p>
      <w:pPr>
        <w:pStyle w:val="23"/>
        <w:rPr>
          <w:rFonts w:hint="eastAsia"/>
          <w:lang w:eastAsia="zh-CN"/>
        </w:rPr>
      </w:pPr>
      <w:r>
        <w:rPr>
          <w:rFonts w:hint="eastAsia"/>
          <w:lang w:eastAsia="zh-CN"/>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23"/>
        <w:rPr>
          <w:rFonts w:hint="eastAsia"/>
          <w:lang w:eastAsia="zh-CN"/>
        </w:rPr>
      </w:pPr>
      <w:r>
        <w:rPr>
          <w:rFonts w:hint="eastAsia"/>
          <w:lang w:eastAsia="zh-CN"/>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23"/>
      </w:pPr>
      <w:r>
        <w:rPr>
          <w:rFonts w:hint="eastAsia"/>
          <w:lang w:eastAsia="zh-CN"/>
        </w:rPr>
        <w:t>（十二）承办上级党委、人大、政府交办的其他事项。</w:t>
      </w: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涞水县胡家庄乡人民政府本级</w:t>
            </w:r>
          </w:p>
        </w:tc>
        <w:tc>
          <w:tcPr>
            <w:tcW w:w="1843" w:type="dxa"/>
            <w:vAlign w:val="center"/>
          </w:tcPr>
          <w:p>
            <w:pPr>
              <w:pStyle w:val="19"/>
            </w:pPr>
            <w:r>
              <w:rPr>
                <w:rFonts w:hint="eastAsia"/>
              </w:rPr>
              <w:t>行政</w:t>
            </w:r>
          </w:p>
        </w:tc>
        <w:tc>
          <w:tcPr>
            <w:tcW w:w="2126" w:type="dxa"/>
            <w:vAlign w:val="center"/>
          </w:tcPr>
          <w:p>
            <w:pPr>
              <w:pStyle w:val="19"/>
            </w:pPr>
            <w:r>
              <w:rPr>
                <w:rFonts w:hint="eastAsia"/>
              </w:rPr>
              <w:t>正科级</w:t>
            </w:r>
          </w:p>
        </w:tc>
        <w:tc>
          <w:tcPr>
            <w:tcW w:w="3827" w:type="dxa"/>
            <w:vAlign w:val="center"/>
          </w:tcPr>
          <w:p>
            <w:pPr>
              <w:pStyle w:val="19"/>
            </w:pPr>
            <w:r>
              <w:rPr>
                <w:rFonts w:hint="eastAsia"/>
              </w:rPr>
              <w:t>财政拨款</w:t>
            </w:r>
          </w:p>
        </w:tc>
      </w:tr>
    </w:tbl>
    <w:p>
      <w:pPr>
        <w:spacing w:before="10" w:after="1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7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1、202</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 xml:space="preserve">年收入说明 </w:t>
      </w:r>
    </w:p>
    <w:p>
      <w:pPr>
        <w:pStyle w:val="3"/>
        <w:spacing w:line="560" w:lineRule="exact"/>
        <w:ind w:firstLine="585"/>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年我单位年初预算总收入</w:t>
      </w:r>
      <w:r>
        <w:rPr>
          <w:rFonts w:hint="eastAsia" w:ascii="仿宋" w:hAnsi="仿宋" w:eastAsia="仿宋"/>
          <w:sz w:val="32"/>
          <w:szCs w:val="32"/>
          <w:lang w:val="en-US" w:eastAsia="zh-CN"/>
        </w:rPr>
        <w:t>579.70</w:t>
      </w:r>
      <w:r>
        <w:rPr>
          <w:rFonts w:hint="eastAsia" w:ascii="仿宋" w:hAnsi="仿宋" w:eastAsia="仿宋"/>
          <w:sz w:val="32"/>
          <w:szCs w:val="32"/>
        </w:rPr>
        <w:t>万元，其中：一般公共预算拨款收入</w:t>
      </w:r>
      <w:r>
        <w:rPr>
          <w:rFonts w:hint="eastAsia" w:ascii="仿宋" w:hAnsi="仿宋" w:eastAsia="仿宋"/>
          <w:sz w:val="32"/>
          <w:szCs w:val="32"/>
          <w:lang w:val="en-US" w:eastAsia="zh-CN"/>
        </w:rPr>
        <w:t>579.70</w:t>
      </w:r>
      <w:r>
        <w:rPr>
          <w:rFonts w:hint="eastAsia" w:ascii="仿宋" w:hAnsi="仿宋" w:eastAsia="仿宋"/>
          <w:sz w:val="32"/>
          <w:szCs w:val="32"/>
        </w:rPr>
        <w:t>元，政府性基本预算拨款0万元，国有资本经营预算拨款0万元，财政专户核拨收入 0 万元，其他来源收入0 万元。</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7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2、202</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年支出说明</w:t>
      </w:r>
    </w:p>
    <w:p>
      <w:pPr>
        <w:pStyle w:val="3"/>
        <w:spacing w:line="560" w:lineRule="exact"/>
        <w:ind w:firstLine="585"/>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收支预算总表支出栏、基本支出表、项目支出表按经济分类和支出功能分类科目编制，反映我部门预算中支出预算的总体情况。202</w:t>
      </w:r>
      <w:r>
        <w:rPr>
          <w:rFonts w:hint="eastAsia" w:ascii="仿宋" w:hAnsi="仿宋" w:eastAsia="仿宋"/>
          <w:sz w:val="32"/>
          <w:szCs w:val="32"/>
          <w:lang w:val="en-US" w:eastAsia="zh-CN"/>
        </w:rPr>
        <w:t>4</w:t>
      </w:r>
      <w:r>
        <w:rPr>
          <w:rFonts w:hint="eastAsia" w:ascii="仿宋" w:hAnsi="仿宋" w:eastAsia="仿宋"/>
          <w:sz w:val="32"/>
          <w:szCs w:val="32"/>
        </w:rPr>
        <w:t>年我部门年初预算拨款支出</w:t>
      </w:r>
      <w:r>
        <w:rPr>
          <w:rFonts w:hint="eastAsia" w:ascii="仿宋" w:hAnsi="仿宋" w:eastAsia="仿宋"/>
          <w:sz w:val="32"/>
          <w:szCs w:val="32"/>
          <w:lang w:val="en-US" w:eastAsia="zh-CN"/>
        </w:rPr>
        <w:t>579.70</w:t>
      </w:r>
      <w:r>
        <w:rPr>
          <w:rFonts w:hint="eastAsia" w:ascii="仿宋" w:hAnsi="仿宋" w:eastAsia="仿宋"/>
          <w:sz w:val="32"/>
          <w:szCs w:val="32"/>
        </w:rPr>
        <w:t>万元。其中：基本支出</w:t>
      </w:r>
      <w:r>
        <w:rPr>
          <w:rFonts w:hint="eastAsia" w:ascii="仿宋" w:hAnsi="仿宋" w:eastAsia="仿宋"/>
          <w:sz w:val="32"/>
          <w:szCs w:val="32"/>
          <w:lang w:val="en-US" w:eastAsia="zh-CN"/>
        </w:rPr>
        <w:t>547.70</w:t>
      </w:r>
      <w:r>
        <w:rPr>
          <w:rFonts w:hint="eastAsia" w:ascii="仿宋" w:hAnsi="仿宋" w:eastAsia="仿宋"/>
          <w:sz w:val="32"/>
          <w:szCs w:val="32"/>
        </w:rPr>
        <w:t>万元，（人员经费预算</w:t>
      </w:r>
      <w:r>
        <w:rPr>
          <w:rFonts w:hint="eastAsia" w:ascii="仿宋" w:hAnsi="仿宋" w:eastAsia="仿宋"/>
          <w:sz w:val="32"/>
          <w:szCs w:val="32"/>
          <w:lang w:val="en-US" w:eastAsia="zh-CN"/>
        </w:rPr>
        <w:t>487.02</w:t>
      </w:r>
      <w:r>
        <w:rPr>
          <w:rFonts w:hint="eastAsia" w:ascii="仿宋" w:hAnsi="仿宋" w:eastAsia="仿宋"/>
          <w:sz w:val="32"/>
          <w:szCs w:val="32"/>
        </w:rPr>
        <w:t>万元；正常公用经费</w:t>
      </w:r>
      <w:r>
        <w:rPr>
          <w:rFonts w:hint="eastAsia" w:ascii="仿宋" w:hAnsi="仿宋" w:eastAsia="仿宋"/>
          <w:sz w:val="32"/>
          <w:szCs w:val="32"/>
          <w:lang w:val="en-US" w:eastAsia="zh-CN"/>
        </w:rPr>
        <w:t>60.68</w:t>
      </w:r>
      <w:r>
        <w:rPr>
          <w:rFonts w:hint="eastAsia" w:ascii="仿宋" w:hAnsi="仿宋" w:eastAsia="仿宋"/>
          <w:sz w:val="32"/>
          <w:szCs w:val="32"/>
        </w:rPr>
        <w:t>万元），项目支出</w:t>
      </w:r>
      <w:r>
        <w:rPr>
          <w:rFonts w:hint="eastAsia" w:ascii="仿宋" w:hAnsi="仿宋" w:eastAsia="仿宋"/>
          <w:sz w:val="32"/>
          <w:szCs w:val="32"/>
          <w:lang w:val="en-US" w:eastAsia="zh-CN"/>
        </w:rPr>
        <w:t>32</w:t>
      </w:r>
      <w:r>
        <w:rPr>
          <w:rFonts w:hint="eastAsia" w:ascii="仿宋" w:hAnsi="仿宋" w:eastAsia="仿宋"/>
          <w:sz w:val="32"/>
          <w:szCs w:val="32"/>
        </w:rPr>
        <w:t>万元，（主要是专项公用经费。）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3、与上年增减情况</w:t>
      </w:r>
    </w:p>
    <w:p>
      <w:pPr>
        <w:pStyle w:val="3"/>
        <w:spacing w:line="560" w:lineRule="exact"/>
        <w:ind w:firstLine="585"/>
        <w:rPr>
          <w:rFonts w:hint="eastAsia" w:ascii="黑体" w:hAnsi="黑体" w:eastAsia="仿宋" w:cs="Times New Roman"/>
          <w:bCs/>
          <w:color w:val="FF0000"/>
          <w:sz w:val="32"/>
          <w:szCs w:val="32"/>
          <w:highlight w:val="yellow"/>
          <w:lang w:eastAsia="zh-CN"/>
        </w:rPr>
      </w:pPr>
      <w:r>
        <w:rPr>
          <w:rFonts w:hint="eastAsia" w:ascii="仿宋" w:hAnsi="仿宋" w:eastAsia="仿宋"/>
          <w:sz w:val="32"/>
          <w:szCs w:val="32"/>
        </w:rPr>
        <w:t>本年度预算收支安排</w:t>
      </w:r>
      <w:r>
        <w:rPr>
          <w:rFonts w:hint="eastAsia" w:ascii="仿宋" w:hAnsi="仿宋" w:eastAsia="仿宋"/>
          <w:sz w:val="32"/>
          <w:szCs w:val="32"/>
          <w:lang w:val="en-US" w:eastAsia="zh-CN"/>
        </w:rPr>
        <w:t>579.70</w:t>
      </w:r>
      <w:r>
        <w:rPr>
          <w:rFonts w:hint="eastAsia" w:ascii="仿宋" w:hAnsi="仿宋" w:eastAsia="仿宋"/>
          <w:sz w:val="32"/>
          <w:szCs w:val="32"/>
        </w:rPr>
        <w:t>万元，较上年</w:t>
      </w:r>
      <w:r>
        <w:rPr>
          <w:rFonts w:hint="eastAsia" w:ascii="仿宋" w:hAnsi="仿宋" w:eastAsia="仿宋"/>
          <w:sz w:val="32"/>
          <w:szCs w:val="32"/>
          <w:lang w:eastAsia="zh-CN"/>
        </w:rPr>
        <w:t>减少</w:t>
      </w:r>
      <w:r>
        <w:rPr>
          <w:rFonts w:hint="eastAsia" w:ascii="仿宋" w:hAnsi="仿宋" w:eastAsia="仿宋"/>
          <w:sz w:val="32"/>
          <w:szCs w:val="32"/>
          <w:lang w:val="en-US" w:eastAsia="zh-CN"/>
        </w:rPr>
        <w:t>55.15</w:t>
      </w:r>
      <w:r>
        <w:rPr>
          <w:rFonts w:hint="eastAsia" w:ascii="仿宋" w:hAnsi="仿宋" w:eastAsia="仿宋"/>
          <w:sz w:val="32"/>
          <w:szCs w:val="32"/>
        </w:rPr>
        <w:t>万元，人员经费预算</w:t>
      </w:r>
      <w:r>
        <w:rPr>
          <w:rFonts w:hint="eastAsia" w:ascii="仿宋" w:hAnsi="仿宋" w:eastAsia="仿宋"/>
          <w:sz w:val="32"/>
          <w:szCs w:val="32"/>
          <w:lang w:eastAsia="zh-CN"/>
        </w:rPr>
        <w:t>减少</w:t>
      </w:r>
      <w:r>
        <w:rPr>
          <w:rFonts w:hint="eastAsia" w:ascii="仿宋" w:hAnsi="仿宋" w:eastAsia="仿宋"/>
          <w:sz w:val="32"/>
          <w:szCs w:val="32"/>
          <w:lang w:val="en-US" w:eastAsia="zh-CN"/>
        </w:rPr>
        <w:t>14.09</w:t>
      </w:r>
      <w:r>
        <w:rPr>
          <w:rFonts w:hint="eastAsia" w:ascii="仿宋" w:hAnsi="仿宋" w:eastAsia="仿宋"/>
          <w:sz w:val="32"/>
          <w:szCs w:val="32"/>
        </w:rPr>
        <w:t>万元，正常公用经费</w:t>
      </w:r>
      <w:r>
        <w:rPr>
          <w:rFonts w:hint="eastAsia" w:ascii="仿宋" w:hAnsi="仿宋" w:eastAsia="仿宋"/>
          <w:sz w:val="32"/>
          <w:szCs w:val="32"/>
          <w:lang w:eastAsia="zh-CN"/>
        </w:rPr>
        <w:t>减少</w:t>
      </w:r>
      <w:r>
        <w:rPr>
          <w:rFonts w:hint="eastAsia" w:ascii="仿宋" w:hAnsi="仿宋" w:eastAsia="仿宋"/>
          <w:sz w:val="32"/>
          <w:szCs w:val="32"/>
          <w:lang w:val="en-US" w:eastAsia="zh-CN"/>
        </w:rPr>
        <w:t>1.06</w:t>
      </w:r>
      <w:r>
        <w:rPr>
          <w:rFonts w:hint="eastAsia" w:ascii="仿宋" w:hAnsi="仿宋" w:eastAsia="仿宋"/>
          <w:sz w:val="32"/>
          <w:szCs w:val="32"/>
        </w:rPr>
        <w:t>万元。</w:t>
      </w:r>
      <w:r>
        <w:rPr>
          <w:rFonts w:hint="eastAsia" w:ascii="仿宋" w:hAnsi="仿宋" w:eastAsia="仿宋"/>
          <w:sz w:val="32"/>
          <w:szCs w:val="32"/>
          <w:lang w:eastAsia="zh-CN"/>
        </w:rPr>
        <w:t>主要原因是人员变动情况。</w:t>
      </w: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w:t>
      </w:r>
      <w:r>
        <w:rPr>
          <w:rFonts w:hint="eastAsia" w:eastAsia="方正仿宋_GBK"/>
          <w:color w:val="000000"/>
          <w:sz w:val="28"/>
          <w:lang w:eastAsia="zh-CN"/>
        </w:rPr>
        <w:t>涞水县胡家庄乡人民政府本级</w:t>
      </w:r>
      <w:r>
        <w:rPr>
          <w:rFonts w:hint="eastAsia" w:eastAsia="方正仿宋_GBK"/>
          <w:color w:val="000000"/>
          <w:sz w:val="28"/>
        </w:rPr>
        <w:t>预算安排机关运行经费支出</w:t>
      </w:r>
      <w:r>
        <w:rPr>
          <w:rFonts w:hint="eastAsia" w:eastAsia="方正仿宋_GBK"/>
          <w:color w:val="000000"/>
          <w:sz w:val="28"/>
          <w:lang w:val="en-US" w:eastAsia="zh-CN"/>
        </w:rPr>
        <w:t>60.68</w:t>
      </w:r>
      <w:r>
        <w:rPr>
          <w:rFonts w:hint="eastAsia" w:eastAsia="方正仿宋_GBK"/>
          <w:color w:val="000000"/>
          <w:sz w:val="28"/>
        </w:rPr>
        <w:t>万元，其中包括办公费</w:t>
      </w:r>
      <w:r>
        <w:rPr>
          <w:rFonts w:hint="eastAsia" w:eastAsia="方正仿宋_GBK"/>
          <w:color w:val="000000"/>
          <w:sz w:val="28"/>
          <w:lang w:val="en-US" w:eastAsia="zh-CN"/>
        </w:rPr>
        <w:t>14.99</w:t>
      </w:r>
      <w:r>
        <w:rPr>
          <w:rFonts w:hint="eastAsia" w:eastAsia="方正仿宋_GBK"/>
          <w:color w:val="000000"/>
          <w:sz w:val="28"/>
        </w:rPr>
        <w:t>万元、邮电费</w:t>
      </w:r>
      <w:r>
        <w:rPr>
          <w:rFonts w:hint="eastAsia" w:eastAsia="方正仿宋_GBK"/>
          <w:color w:val="000000"/>
          <w:sz w:val="28"/>
          <w:lang w:val="en-US" w:eastAsia="zh-CN"/>
        </w:rPr>
        <w:t>0.18</w:t>
      </w:r>
      <w:r>
        <w:rPr>
          <w:rFonts w:hint="eastAsia" w:eastAsia="方正仿宋_GBK"/>
          <w:color w:val="000000"/>
          <w:sz w:val="28"/>
        </w:rPr>
        <w:t>万元、</w:t>
      </w:r>
      <w:r>
        <w:rPr>
          <w:rFonts w:hint="eastAsia" w:eastAsia="方正仿宋_GBK"/>
          <w:color w:val="000000"/>
          <w:sz w:val="28"/>
          <w:lang w:eastAsia="zh-CN"/>
        </w:rPr>
        <w:t>取暖费</w:t>
      </w:r>
      <w:r>
        <w:rPr>
          <w:rFonts w:hint="eastAsia" w:eastAsia="方正仿宋_GBK"/>
          <w:color w:val="000000"/>
          <w:sz w:val="28"/>
          <w:lang w:val="en-US" w:eastAsia="zh-CN"/>
        </w:rPr>
        <w:t>6万元、劳务费17.66万元、</w:t>
      </w:r>
      <w:r>
        <w:rPr>
          <w:rFonts w:hint="eastAsia" w:eastAsia="方正仿宋_GBK"/>
          <w:color w:val="000000"/>
          <w:sz w:val="28"/>
        </w:rPr>
        <w:t>工会经费</w:t>
      </w:r>
      <w:r>
        <w:rPr>
          <w:rFonts w:hint="eastAsia" w:eastAsia="方正仿宋_GBK"/>
          <w:color w:val="000000"/>
          <w:sz w:val="28"/>
          <w:lang w:val="en-US" w:eastAsia="zh-CN"/>
        </w:rPr>
        <w:t>4.31</w:t>
      </w:r>
      <w:r>
        <w:rPr>
          <w:rFonts w:hint="eastAsia" w:eastAsia="方正仿宋_GBK"/>
          <w:color w:val="000000"/>
          <w:sz w:val="28"/>
        </w:rPr>
        <w:t>万元、福利费</w:t>
      </w:r>
      <w:r>
        <w:rPr>
          <w:rFonts w:hint="eastAsia" w:eastAsia="方正仿宋_GBK"/>
          <w:color w:val="000000"/>
          <w:sz w:val="28"/>
          <w:lang w:val="en-US" w:eastAsia="zh-CN"/>
        </w:rPr>
        <w:t>5.26</w:t>
      </w:r>
      <w:r>
        <w:rPr>
          <w:rFonts w:hint="eastAsia" w:eastAsia="方正仿宋_GBK"/>
          <w:color w:val="000000"/>
          <w:sz w:val="28"/>
        </w:rPr>
        <w:t>万元</w:t>
      </w:r>
      <w:r>
        <w:rPr>
          <w:rFonts w:hint="eastAsia" w:eastAsia="方正仿宋_GBK"/>
          <w:color w:val="000000"/>
          <w:sz w:val="28"/>
          <w:lang w:eastAsia="zh-CN"/>
        </w:rPr>
        <w:t>、公务车运行维护费</w:t>
      </w:r>
      <w:r>
        <w:rPr>
          <w:rFonts w:hint="eastAsia" w:eastAsia="方正仿宋_GBK"/>
          <w:color w:val="000000"/>
          <w:sz w:val="28"/>
          <w:lang w:val="en-US" w:eastAsia="zh-CN"/>
        </w:rPr>
        <w:t>2万元、其他交通费用9.196万元、其他商品和服务支出0.32万元</w:t>
      </w:r>
      <w:r>
        <w:rPr>
          <w:rFonts w:hint="eastAsia" w:eastAsia="方正仿宋_GBK"/>
          <w:color w:val="000000"/>
          <w:sz w:val="28"/>
        </w:rPr>
        <w:t>。</w:t>
      </w:r>
    </w:p>
    <w:p>
      <w:pPr>
        <w:numPr>
          <w:ilvl w:val="0"/>
          <w:numId w:val="1"/>
        </w:numPr>
        <w:spacing w:before="10" w:after="10"/>
        <w:ind w:firstLine="640" w:firstLineChars="200"/>
        <w:outlineLvl w:val="5"/>
        <w:rPr>
          <w:rFonts w:hint="eastAsia"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lang w:eastAsia="zh-CN"/>
        </w:rPr>
        <w:t>年涞水县胡家庄乡人民政府本级安排“三公经费”预算</w:t>
      </w:r>
      <w:r>
        <w:rPr>
          <w:rFonts w:hint="eastAsia" w:eastAsia="方正仿宋_GBK"/>
          <w:color w:val="000000"/>
          <w:sz w:val="28"/>
          <w:lang w:val="en-US" w:eastAsia="zh-CN"/>
        </w:rPr>
        <w:t>2</w:t>
      </w:r>
      <w:r>
        <w:rPr>
          <w:rFonts w:hint="eastAsia" w:eastAsia="方正仿宋_GBK"/>
          <w:color w:val="000000"/>
          <w:sz w:val="28"/>
          <w:lang w:eastAsia="zh-CN"/>
        </w:rPr>
        <w:t>万元，与202</w:t>
      </w:r>
      <w:r>
        <w:rPr>
          <w:rFonts w:hint="eastAsia" w:eastAsia="方正仿宋_GBK"/>
          <w:color w:val="000000"/>
          <w:sz w:val="28"/>
          <w:lang w:val="en-US" w:eastAsia="zh-CN"/>
        </w:rPr>
        <w:t>3</w:t>
      </w:r>
      <w:r>
        <w:rPr>
          <w:rFonts w:hint="eastAsia" w:eastAsia="方正仿宋_GBK"/>
          <w:color w:val="000000"/>
          <w:sz w:val="28"/>
          <w:lang w:eastAsia="zh-CN"/>
        </w:rPr>
        <w:t>年相比减少</w:t>
      </w:r>
      <w:r>
        <w:rPr>
          <w:rFonts w:hint="eastAsia" w:eastAsia="方正仿宋_GBK"/>
          <w:color w:val="000000"/>
          <w:sz w:val="28"/>
          <w:lang w:val="en-US" w:eastAsia="zh-CN"/>
        </w:rPr>
        <w:t>2</w:t>
      </w:r>
      <w:r>
        <w:rPr>
          <w:rFonts w:hint="eastAsia" w:eastAsia="方正仿宋_GBK"/>
          <w:color w:val="000000"/>
          <w:sz w:val="28"/>
          <w:lang w:eastAsia="zh-CN"/>
        </w:rPr>
        <w:t>万元。其中，公务用车运行维护费</w:t>
      </w:r>
      <w:r>
        <w:rPr>
          <w:rFonts w:hint="eastAsia" w:eastAsia="方正仿宋_GBK"/>
          <w:color w:val="000000"/>
          <w:sz w:val="28"/>
          <w:lang w:val="en-US" w:eastAsia="zh-CN"/>
        </w:rPr>
        <w:t>2</w:t>
      </w:r>
      <w:r>
        <w:rPr>
          <w:rFonts w:hint="eastAsia" w:eastAsia="方正仿宋_GBK"/>
          <w:color w:val="000000"/>
          <w:sz w:val="28"/>
          <w:lang w:eastAsia="zh-CN"/>
        </w:rPr>
        <w:t>万元，与202</w:t>
      </w:r>
      <w:r>
        <w:rPr>
          <w:rFonts w:hint="eastAsia" w:eastAsia="方正仿宋_GBK"/>
          <w:color w:val="000000"/>
          <w:sz w:val="28"/>
          <w:lang w:val="en-US" w:eastAsia="zh-CN"/>
        </w:rPr>
        <w:t>3</w:t>
      </w:r>
      <w:r>
        <w:rPr>
          <w:rFonts w:hint="eastAsia" w:eastAsia="方正仿宋_GBK"/>
          <w:color w:val="000000"/>
          <w:sz w:val="28"/>
          <w:lang w:eastAsia="zh-CN"/>
        </w:rPr>
        <w:t>年相比预算减少</w:t>
      </w:r>
      <w:r>
        <w:rPr>
          <w:rFonts w:hint="eastAsia" w:eastAsia="方正仿宋_GBK"/>
          <w:color w:val="000000"/>
          <w:sz w:val="28"/>
          <w:lang w:val="en-US" w:eastAsia="zh-CN"/>
        </w:rPr>
        <w:t>1</w:t>
      </w:r>
      <w:r>
        <w:rPr>
          <w:rFonts w:hint="eastAsia" w:eastAsia="方正仿宋_GBK"/>
          <w:color w:val="000000"/>
          <w:sz w:val="28"/>
          <w:lang w:eastAsia="zh-CN"/>
        </w:rPr>
        <w:t>万元，压减支出；公务接待费</w:t>
      </w:r>
      <w:r>
        <w:rPr>
          <w:rFonts w:hint="eastAsia" w:eastAsia="方正仿宋_GBK"/>
          <w:color w:val="000000"/>
          <w:sz w:val="28"/>
          <w:lang w:val="en-US" w:eastAsia="zh-CN"/>
        </w:rPr>
        <w:t>0</w:t>
      </w:r>
      <w:r>
        <w:rPr>
          <w:rFonts w:hint="eastAsia" w:eastAsia="方正仿宋_GBK"/>
          <w:color w:val="000000"/>
          <w:sz w:val="28"/>
          <w:lang w:eastAsia="zh-CN"/>
        </w:rPr>
        <w:t>万元，与202</w:t>
      </w:r>
      <w:r>
        <w:rPr>
          <w:rFonts w:hint="eastAsia" w:eastAsia="方正仿宋_GBK"/>
          <w:color w:val="000000"/>
          <w:sz w:val="28"/>
          <w:lang w:val="en-US" w:eastAsia="zh-CN"/>
        </w:rPr>
        <w:t>3</w:t>
      </w:r>
      <w:r>
        <w:rPr>
          <w:rFonts w:hint="eastAsia" w:eastAsia="方正仿宋_GBK"/>
          <w:color w:val="000000"/>
          <w:sz w:val="28"/>
          <w:lang w:eastAsia="zh-CN"/>
        </w:rPr>
        <w:t>年相比减少</w:t>
      </w:r>
      <w:r>
        <w:rPr>
          <w:rFonts w:hint="eastAsia" w:eastAsia="方正仿宋_GBK"/>
          <w:color w:val="000000"/>
          <w:sz w:val="28"/>
          <w:lang w:val="en-US" w:eastAsia="zh-CN"/>
        </w:rPr>
        <w:t>1万元</w:t>
      </w:r>
      <w:r>
        <w:rPr>
          <w:rFonts w:hint="eastAsia" w:eastAsia="方正仿宋_GBK"/>
          <w:color w:val="000000"/>
          <w:sz w:val="28"/>
          <w:lang w:eastAsia="zh-CN"/>
        </w:rPr>
        <w:t>；因响应国家号召，压减支出；公务用车购置经费无。</w:t>
      </w: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tbl>
      <w:tblPr>
        <w:tblStyle w:val="9"/>
        <w:tblW w:w="0" w:type="auto"/>
        <w:tblInd w:w="840" w:type="dxa"/>
        <w:tblLayout w:type="fixed"/>
        <w:tblCellMar>
          <w:top w:w="0" w:type="dxa"/>
          <w:left w:w="108" w:type="dxa"/>
          <w:bottom w:w="0" w:type="dxa"/>
          <w:right w:w="108" w:type="dxa"/>
        </w:tblCellMar>
      </w:tblPr>
      <w:tblGrid>
        <w:gridCol w:w="2575"/>
        <w:gridCol w:w="1717"/>
        <w:gridCol w:w="1717"/>
        <w:gridCol w:w="1177"/>
        <w:gridCol w:w="6629"/>
      </w:tblGrid>
      <w:tr>
        <w:tblPrEx>
          <w:tblCellMar>
            <w:top w:w="0" w:type="dxa"/>
            <w:left w:w="108" w:type="dxa"/>
            <w:bottom w:w="0" w:type="dxa"/>
            <w:right w:w="108" w:type="dxa"/>
          </w:tblCellMar>
        </w:tblPrEx>
        <w:trPr>
          <w:trHeight w:val="221" w:hRule="atLeast"/>
        </w:trPr>
        <w:tc>
          <w:tcPr>
            <w:tcW w:w="2575"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6629"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316" w:hRule="atLeast"/>
        </w:trPr>
        <w:tc>
          <w:tcPr>
            <w:tcW w:w="25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4</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662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57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662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57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662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57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3</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2</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w:t>
            </w:r>
          </w:p>
        </w:tc>
        <w:tc>
          <w:tcPr>
            <w:tcW w:w="6629" w:type="dxa"/>
            <w:tcBorders>
              <w:top w:val="nil"/>
              <w:left w:val="nil"/>
              <w:bottom w:val="single" w:color="auto" w:sz="4" w:space="0"/>
              <w:right w:val="single" w:color="auto" w:sz="4" w:space="0"/>
            </w:tcBorders>
            <w:vAlign w:val="center"/>
          </w:tcPr>
          <w:p>
            <w:pPr>
              <w:rPr>
                <w:rFonts w:hint="eastAsia" w:ascii="仿宋_GB2312" w:hAnsi="宋体" w:eastAsia="仿宋_GB2312" w:cs="宋体"/>
                <w:lang w:eastAsia="zh-CN"/>
              </w:rPr>
            </w:pPr>
            <w:r>
              <w:rPr>
                <w:rFonts w:hint="eastAsia" w:ascii="仿宋_GB2312" w:hAnsi="宋体" w:eastAsia="仿宋_GB2312" w:cs="宋体"/>
                <w:lang w:eastAsia="zh-CN"/>
              </w:rPr>
              <w:t>因响应国家号召，压减支出</w:t>
            </w:r>
          </w:p>
        </w:tc>
      </w:tr>
      <w:tr>
        <w:tblPrEx>
          <w:tblCellMar>
            <w:top w:w="0" w:type="dxa"/>
            <w:left w:w="108" w:type="dxa"/>
            <w:bottom w:w="0" w:type="dxa"/>
            <w:right w:w="108" w:type="dxa"/>
          </w:tblCellMar>
        </w:tblPrEx>
        <w:trPr>
          <w:trHeight w:val="480" w:hRule="atLeast"/>
        </w:trPr>
        <w:tc>
          <w:tcPr>
            <w:tcW w:w="257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w:t>
            </w:r>
          </w:p>
        </w:tc>
        <w:tc>
          <w:tcPr>
            <w:tcW w:w="662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cs="宋体"/>
                <w:lang w:eastAsia="zh-CN"/>
              </w:rPr>
              <w:t>因响应国家号召，压减支出</w:t>
            </w:r>
          </w:p>
        </w:tc>
      </w:tr>
      <w:tr>
        <w:tblPrEx>
          <w:tblCellMar>
            <w:top w:w="0" w:type="dxa"/>
            <w:left w:w="108" w:type="dxa"/>
            <w:bottom w:w="0" w:type="dxa"/>
            <w:right w:w="108" w:type="dxa"/>
          </w:tblCellMar>
        </w:tblPrEx>
        <w:trPr>
          <w:trHeight w:val="865" w:hRule="atLeast"/>
        </w:trPr>
        <w:tc>
          <w:tcPr>
            <w:tcW w:w="257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2</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2</w:t>
            </w:r>
          </w:p>
        </w:tc>
        <w:tc>
          <w:tcPr>
            <w:tcW w:w="662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lang w:eastAsia="zh-CN"/>
              </w:rPr>
              <w:t>因响应国家号召，压减支出</w:t>
            </w:r>
          </w:p>
        </w:tc>
      </w:tr>
    </w:tbl>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pPr>
        <w:ind w:firstLine="281" w:firstLineChars="10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财政事务工作经费（年初）绩效目标表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3495"/>
        <w:gridCol w:w="1067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3495" w:type="dxa"/>
            <w:tcBorders>
              <w:bottom w:val="single" w:color="FFFFFF" w:sz="6" w:space="0"/>
            </w:tcBorders>
            <w:vAlign w:val="center"/>
          </w:tcPr>
          <w:p>
            <w:pPr>
              <w:pStyle w:val="16"/>
            </w:pPr>
            <w:r>
              <w:t>绩效目标</w:t>
            </w:r>
          </w:p>
        </w:tc>
        <w:tc>
          <w:tcPr>
            <w:tcW w:w="10678" w:type="dxa"/>
            <w:tcBorders>
              <w:bottom w:val="single" w:color="FFFFFF" w:sz="6" w:space="0"/>
            </w:tcBorders>
            <w:vAlign w:val="center"/>
          </w:tcPr>
          <w:p>
            <w:pPr>
              <w:pStyle w:val="18"/>
            </w:pPr>
            <w:r>
              <w:t>1.完成各项上级财政拨款，落实到位，保障惠民政策落实到位，做好财政国库支付电子化工作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36"/>
        <w:gridCol w:w="3311"/>
        <w:gridCol w:w="1332"/>
        <w:gridCol w:w="3320"/>
        <w:gridCol w:w="847"/>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536" w:type="dxa"/>
            <w:noWrap w:val="0"/>
            <w:vAlign w:val="center"/>
          </w:tcPr>
          <w:p>
            <w:pPr>
              <w:pStyle w:val="16"/>
            </w:pPr>
            <w:r>
              <w:t>一级指标</w:t>
            </w:r>
          </w:p>
        </w:tc>
        <w:tc>
          <w:tcPr>
            <w:tcW w:w="3311" w:type="dxa"/>
            <w:noWrap w:val="0"/>
            <w:vAlign w:val="center"/>
          </w:tcPr>
          <w:p>
            <w:pPr>
              <w:pStyle w:val="16"/>
            </w:pPr>
            <w:r>
              <w:t>二级指标</w:t>
            </w:r>
          </w:p>
        </w:tc>
        <w:tc>
          <w:tcPr>
            <w:tcW w:w="1332" w:type="dxa"/>
            <w:noWrap w:val="0"/>
            <w:vAlign w:val="center"/>
          </w:tcPr>
          <w:p>
            <w:pPr>
              <w:pStyle w:val="16"/>
            </w:pPr>
            <w:r>
              <w:t>三级指标</w:t>
            </w:r>
          </w:p>
        </w:tc>
        <w:tc>
          <w:tcPr>
            <w:tcW w:w="3320" w:type="dxa"/>
            <w:noWrap w:val="0"/>
            <w:vAlign w:val="center"/>
          </w:tcPr>
          <w:p>
            <w:pPr>
              <w:pStyle w:val="16"/>
            </w:pPr>
            <w:r>
              <w:t>绩效指标描述</w:t>
            </w:r>
          </w:p>
        </w:tc>
        <w:tc>
          <w:tcPr>
            <w:tcW w:w="847"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restart"/>
            <w:noWrap w:val="0"/>
            <w:vAlign w:val="center"/>
          </w:tcPr>
          <w:p>
            <w:pPr>
              <w:pStyle w:val="19"/>
            </w:pPr>
            <w:r>
              <w:t>产出指标</w:t>
            </w:r>
          </w:p>
        </w:tc>
        <w:tc>
          <w:tcPr>
            <w:tcW w:w="3311" w:type="dxa"/>
            <w:noWrap w:val="0"/>
            <w:vAlign w:val="center"/>
          </w:tcPr>
          <w:p>
            <w:pPr>
              <w:pStyle w:val="18"/>
            </w:pPr>
            <w:r>
              <w:t>数量指标</w:t>
            </w:r>
          </w:p>
        </w:tc>
        <w:tc>
          <w:tcPr>
            <w:tcW w:w="1332" w:type="dxa"/>
            <w:noWrap w:val="0"/>
            <w:vAlign w:val="center"/>
          </w:tcPr>
          <w:p>
            <w:pPr>
              <w:pStyle w:val="18"/>
            </w:pPr>
            <w:r>
              <w:t>工作开展完成率（%）</w:t>
            </w:r>
          </w:p>
        </w:tc>
        <w:tc>
          <w:tcPr>
            <w:tcW w:w="3320" w:type="dxa"/>
            <w:noWrap w:val="0"/>
            <w:vAlign w:val="center"/>
          </w:tcPr>
          <w:p>
            <w:pPr>
              <w:pStyle w:val="18"/>
            </w:pPr>
            <w:r>
              <w:t>工作实际开展占计划工作的比率</w:t>
            </w:r>
          </w:p>
        </w:tc>
        <w:tc>
          <w:tcPr>
            <w:tcW w:w="847" w:type="dxa"/>
            <w:noWrap w:val="0"/>
            <w:vAlign w:val="center"/>
          </w:tcPr>
          <w:p>
            <w:pPr>
              <w:pStyle w:val="18"/>
            </w:pPr>
            <w:r>
              <w:t>≥90百分比</w:t>
            </w:r>
          </w:p>
        </w:tc>
        <w:tc>
          <w:tcPr>
            <w:tcW w:w="184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0"/>
            <w:vAlign w:val="center"/>
          </w:tcPr>
          <w:p/>
        </w:tc>
        <w:tc>
          <w:tcPr>
            <w:tcW w:w="3311" w:type="dxa"/>
            <w:noWrap w:val="0"/>
            <w:vAlign w:val="center"/>
          </w:tcPr>
          <w:p>
            <w:pPr>
              <w:pStyle w:val="18"/>
            </w:pPr>
            <w:r>
              <w:t>质量指标</w:t>
            </w:r>
          </w:p>
        </w:tc>
        <w:tc>
          <w:tcPr>
            <w:tcW w:w="1332" w:type="dxa"/>
            <w:noWrap w:val="0"/>
            <w:vAlign w:val="center"/>
          </w:tcPr>
          <w:p>
            <w:pPr>
              <w:pStyle w:val="18"/>
            </w:pPr>
            <w:r>
              <w:t>资金有效使用率(%)</w:t>
            </w:r>
          </w:p>
        </w:tc>
        <w:tc>
          <w:tcPr>
            <w:tcW w:w="3320" w:type="dxa"/>
            <w:noWrap w:val="0"/>
            <w:vAlign w:val="center"/>
          </w:tcPr>
          <w:p>
            <w:pPr>
              <w:pStyle w:val="18"/>
            </w:pPr>
            <w:r>
              <w:t>资金实际使用金额占拨付金额的比率</w:t>
            </w:r>
          </w:p>
        </w:tc>
        <w:tc>
          <w:tcPr>
            <w:tcW w:w="847" w:type="dxa"/>
            <w:noWrap w:val="0"/>
            <w:vAlign w:val="center"/>
          </w:tcPr>
          <w:p>
            <w:pPr>
              <w:pStyle w:val="18"/>
            </w:pPr>
            <w:r>
              <w:t>≥90百分比</w:t>
            </w:r>
          </w:p>
        </w:tc>
        <w:tc>
          <w:tcPr>
            <w:tcW w:w="184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0"/>
            <w:vAlign w:val="center"/>
          </w:tcPr>
          <w:p/>
        </w:tc>
        <w:tc>
          <w:tcPr>
            <w:tcW w:w="3311" w:type="dxa"/>
            <w:noWrap w:val="0"/>
            <w:vAlign w:val="center"/>
          </w:tcPr>
          <w:p>
            <w:pPr>
              <w:pStyle w:val="18"/>
            </w:pPr>
            <w:r>
              <w:t>时效指标</w:t>
            </w:r>
          </w:p>
        </w:tc>
        <w:tc>
          <w:tcPr>
            <w:tcW w:w="1332" w:type="dxa"/>
            <w:noWrap w:val="0"/>
            <w:vAlign w:val="center"/>
          </w:tcPr>
          <w:p>
            <w:pPr>
              <w:pStyle w:val="18"/>
            </w:pPr>
            <w:r>
              <w:t>年度项目完成情况</w:t>
            </w:r>
          </w:p>
        </w:tc>
        <w:tc>
          <w:tcPr>
            <w:tcW w:w="3320" w:type="dxa"/>
            <w:noWrap w:val="0"/>
            <w:vAlign w:val="center"/>
          </w:tcPr>
          <w:p>
            <w:pPr>
              <w:pStyle w:val="18"/>
            </w:pPr>
            <w:r>
              <w:t>年度项目按规定时间点完成</w:t>
            </w:r>
          </w:p>
        </w:tc>
        <w:tc>
          <w:tcPr>
            <w:tcW w:w="847" w:type="dxa"/>
            <w:noWrap w:val="0"/>
            <w:vAlign w:val="center"/>
          </w:tcPr>
          <w:p>
            <w:pPr>
              <w:pStyle w:val="18"/>
            </w:pPr>
            <w:r>
              <w:t>≥90百分比</w:t>
            </w:r>
          </w:p>
        </w:tc>
        <w:tc>
          <w:tcPr>
            <w:tcW w:w="184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0"/>
            <w:vAlign w:val="center"/>
          </w:tcPr>
          <w:p/>
        </w:tc>
        <w:tc>
          <w:tcPr>
            <w:tcW w:w="3311" w:type="dxa"/>
            <w:noWrap w:val="0"/>
            <w:vAlign w:val="center"/>
          </w:tcPr>
          <w:p>
            <w:pPr>
              <w:pStyle w:val="18"/>
            </w:pPr>
            <w:r>
              <w:t>成本指标</w:t>
            </w:r>
          </w:p>
        </w:tc>
        <w:tc>
          <w:tcPr>
            <w:tcW w:w="1332" w:type="dxa"/>
            <w:noWrap w:val="0"/>
            <w:vAlign w:val="center"/>
          </w:tcPr>
          <w:p>
            <w:pPr>
              <w:pStyle w:val="18"/>
            </w:pPr>
            <w:r>
              <w:t>经费控制数</w:t>
            </w:r>
          </w:p>
        </w:tc>
        <w:tc>
          <w:tcPr>
            <w:tcW w:w="3320" w:type="dxa"/>
            <w:noWrap w:val="0"/>
            <w:vAlign w:val="center"/>
          </w:tcPr>
          <w:p>
            <w:pPr>
              <w:pStyle w:val="18"/>
            </w:pPr>
            <w:r>
              <w:t>经费控制数</w:t>
            </w:r>
          </w:p>
        </w:tc>
        <w:tc>
          <w:tcPr>
            <w:tcW w:w="847" w:type="dxa"/>
            <w:noWrap w:val="0"/>
            <w:vAlign w:val="center"/>
          </w:tcPr>
          <w:p>
            <w:pPr>
              <w:pStyle w:val="18"/>
            </w:pPr>
            <w:r>
              <w:t>≤1万元</w:t>
            </w:r>
          </w:p>
        </w:tc>
        <w:tc>
          <w:tcPr>
            <w:tcW w:w="184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noWrap w:val="0"/>
            <w:vAlign w:val="center"/>
          </w:tcPr>
          <w:p>
            <w:pPr>
              <w:pStyle w:val="19"/>
            </w:pPr>
            <w:r>
              <w:t>效益指标</w:t>
            </w:r>
          </w:p>
        </w:tc>
        <w:tc>
          <w:tcPr>
            <w:tcW w:w="3311" w:type="dxa"/>
            <w:noWrap w:val="0"/>
            <w:vAlign w:val="center"/>
          </w:tcPr>
          <w:p>
            <w:pPr>
              <w:pStyle w:val="18"/>
            </w:pPr>
            <w:r>
              <w:t>社会效益指标</w:t>
            </w:r>
          </w:p>
        </w:tc>
        <w:tc>
          <w:tcPr>
            <w:tcW w:w="1332" w:type="dxa"/>
            <w:noWrap w:val="0"/>
            <w:vAlign w:val="center"/>
          </w:tcPr>
          <w:p>
            <w:pPr>
              <w:pStyle w:val="18"/>
            </w:pPr>
            <w:r>
              <w:t>保障人员办公</w:t>
            </w:r>
          </w:p>
        </w:tc>
        <w:tc>
          <w:tcPr>
            <w:tcW w:w="3320" w:type="dxa"/>
            <w:noWrap w:val="0"/>
            <w:vAlign w:val="center"/>
          </w:tcPr>
          <w:p>
            <w:pPr>
              <w:pStyle w:val="18"/>
            </w:pPr>
            <w:r>
              <w:t>能够保障人员日常工作效率。</w:t>
            </w:r>
          </w:p>
        </w:tc>
        <w:tc>
          <w:tcPr>
            <w:tcW w:w="847" w:type="dxa"/>
            <w:noWrap w:val="0"/>
            <w:vAlign w:val="center"/>
          </w:tcPr>
          <w:p>
            <w:pPr>
              <w:pStyle w:val="18"/>
            </w:pPr>
            <w:r>
              <w:t>≥90百分比</w:t>
            </w:r>
          </w:p>
        </w:tc>
        <w:tc>
          <w:tcPr>
            <w:tcW w:w="184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noWrap w:val="0"/>
            <w:vAlign w:val="center"/>
          </w:tcPr>
          <w:p>
            <w:pPr>
              <w:pStyle w:val="19"/>
            </w:pPr>
            <w:r>
              <w:t>满意度指标</w:t>
            </w:r>
          </w:p>
        </w:tc>
        <w:tc>
          <w:tcPr>
            <w:tcW w:w="3311" w:type="dxa"/>
            <w:noWrap w:val="0"/>
            <w:vAlign w:val="center"/>
          </w:tcPr>
          <w:p>
            <w:pPr>
              <w:pStyle w:val="18"/>
            </w:pPr>
            <w:r>
              <w:t>服务对象满意度指标</w:t>
            </w:r>
          </w:p>
        </w:tc>
        <w:tc>
          <w:tcPr>
            <w:tcW w:w="1332" w:type="dxa"/>
            <w:noWrap w:val="0"/>
            <w:vAlign w:val="center"/>
          </w:tcPr>
          <w:p>
            <w:pPr>
              <w:pStyle w:val="18"/>
            </w:pPr>
            <w:r>
              <w:t>服务对象满意度</w:t>
            </w:r>
          </w:p>
        </w:tc>
        <w:tc>
          <w:tcPr>
            <w:tcW w:w="3320" w:type="dxa"/>
            <w:noWrap w:val="0"/>
            <w:vAlign w:val="center"/>
          </w:tcPr>
          <w:p>
            <w:pPr>
              <w:pStyle w:val="18"/>
            </w:pPr>
            <w:r>
              <w:t>服务对象满意度</w:t>
            </w:r>
          </w:p>
        </w:tc>
        <w:tc>
          <w:tcPr>
            <w:tcW w:w="847" w:type="dxa"/>
            <w:noWrap w:val="0"/>
            <w:vAlign w:val="center"/>
          </w:tcPr>
          <w:p>
            <w:pPr>
              <w:pStyle w:val="18"/>
            </w:pPr>
            <w:r>
              <w:t>≥90百分比</w:t>
            </w:r>
          </w:p>
        </w:tc>
        <w:tc>
          <w:tcPr>
            <w:tcW w:w="1843" w:type="dxa"/>
            <w:noWrap w:val="0"/>
            <w:vAlign w:val="center"/>
          </w:tcPr>
          <w:p>
            <w:pPr>
              <w:pStyle w:val="18"/>
            </w:pPr>
            <w:r>
              <w:t>依据工作方案</w:t>
            </w:r>
          </w:p>
        </w:tc>
      </w:tr>
    </w:tbl>
    <w:p>
      <w:pPr>
        <w:sectPr>
          <w:type w:val="continuous"/>
          <w:pgSz w:w="16840" w:h="11900" w:orient="landscape"/>
          <w:pgMar w:top="1361" w:right="1020" w:bottom="1134" w:left="1020" w:header="720" w:footer="720" w:gutter="0"/>
          <w:cols w:space="720" w:num="1"/>
        </w:sectPr>
      </w:pPr>
    </w:p>
    <w:p>
      <w:pPr>
        <w:ind w:firstLine="281" w:firstLineChars="10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纪检经费（年初）绩效目标表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18"/>
        <w:gridCol w:w="1309"/>
        <w:gridCol w:w="1432"/>
        <w:gridCol w:w="3791"/>
        <w:gridCol w:w="1445"/>
        <w:gridCol w:w="377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18" w:type="dxa"/>
            <w:tcBorders>
              <w:bottom w:val="single" w:color="FFFFFF" w:sz="6" w:space="0"/>
            </w:tcBorders>
            <w:vAlign w:val="center"/>
          </w:tcPr>
          <w:p>
            <w:pPr>
              <w:pStyle w:val="16"/>
            </w:pPr>
            <w:r>
              <w:t>绩效目标</w:t>
            </w:r>
          </w:p>
        </w:tc>
        <w:tc>
          <w:tcPr>
            <w:tcW w:w="11755" w:type="dxa"/>
            <w:gridSpan w:val="5"/>
            <w:tcBorders>
              <w:bottom w:val="single" w:color="FFFFFF" w:sz="6" w:space="0"/>
            </w:tcBorders>
            <w:vAlign w:val="center"/>
          </w:tcPr>
          <w:p>
            <w:pPr>
              <w:pStyle w:val="18"/>
            </w:pPr>
            <w:r>
              <w:rPr>
                <w:rFonts w:hint="eastAsia"/>
              </w:rPr>
              <w:t>1.认真落实纪检部门各项任务，加强监督检查，促进党风廉政。发挥乡纪检监督职能，做到有案必查，有腐必惩，深化廉政教育学习。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18" w:type="dxa"/>
            <w:noWrap w:val="0"/>
            <w:vAlign w:val="center"/>
          </w:tcPr>
          <w:p>
            <w:pPr>
              <w:pStyle w:val="16"/>
            </w:pPr>
            <w:r>
              <w:t>一级指标</w:t>
            </w:r>
          </w:p>
        </w:tc>
        <w:tc>
          <w:tcPr>
            <w:tcW w:w="1309" w:type="dxa"/>
            <w:noWrap w:val="0"/>
            <w:vAlign w:val="center"/>
          </w:tcPr>
          <w:p>
            <w:pPr>
              <w:pStyle w:val="16"/>
            </w:pPr>
            <w:r>
              <w:t>二级指标</w:t>
            </w:r>
          </w:p>
        </w:tc>
        <w:tc>
          <w:tcPr>
            <w:tcW w:w="1432" w:type="dxa"/>
            <w:noWrap w:val="0"/>
            <w:vAlign w:val="center"/>
          </w:tcPr>
          <w:p>
            <w:pPr>
              <w:pStyle w:val="16"/>
            </w:pPr>
            <w:r>
              <w:t>三级指标</w:t>
            </w:r>
          </w:p>
        </w:tc>
        <w:tc>
          <w:tcPr>
            <w:tcW w:w="3791" w:type="dxa"/>
            <w:noWrap w:val="0"/>
            <w:vAlign w:val="center"/>
          </w:tcPr>
          <w:p>
            <w:pPr>
              <w:pStyle w:val="16"/>
            </w:pPr>
            <w:r>
              <w:t>绩效指标描述</w:t>
            </w:r>
          </w:p>
        </w:tc>
        <w:tc>
          <w:tcPr>
            <w:tcW w:w="1445" w:type="dxa"/>
            <w:noWrap w:val="0"/>
            <w:vAlign w:val="center"/>
          </w:tcPr>
          <w:p>
            <w:pPr>
              <w:pStyle w:val="16"/>
            </w:pPr>
            <w:r>
              <w:t>指标值</w:t>
            </w:r>
          </w:p>
        </w:tc>
        <w:tc>
          <w:tcPr>
            <w:tcW w:w="3778"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restart"/>
            <w:noWrap w:val="0"/>
            <w:vAlign w:val="center"/>
          </w:tcPr>
          <w:p>
            <w:pPr>
              <w:pStyle w:val="19"/>
            </w:pPr>
            <w:r>
              <w:t>产出指标</w:t>
            </w:r>
          </w:p>
        </w:tc>
        <w:tc>
          <w:tcPr>
            <w:tcW w:w="1309" w:type="dxa"/>
            <w:noWrap w:val="0"/>
            <w:vAlign w:val="center"/>
          </w:tcPr>
          <w:p>
            <w:pPr>
              <w:pStyle w:val="18"/>
            </w:pPr>
            <w:r>
              <w:t>数量指标</w:t>
            </w:r>
          </w:p>
        </w:tc>
        <w:tc>
          <w:tcPr>
            <w:tcW w:w="1432" w:type="dxa"/>
            <w:noWrap w:val="0"/>
            <w:vAlign w:val="center"/>
          </w:tcPr>
          <w:p>
            <w:pPr>
              <w:pStyle w:val="18"/>
            </w:pPr>
            <w:r>
              <w:t>组织监督检查会议次数</w:t>
            </w:r>
          </w:p>
        </w:tc>
        <w:tc>
          <w:tcPr>
            <w:tcW w:w="3791" w:type="dxa"/>
            <w:noWrap w:val="0"/>
            <w:vAlign w:val="center"/>
          </w:tcPr>
          <w:p>
            <w:pPr>
              <w:pStyle w:val="18"/>
            </w:pPr>
            <w:r>
              <w:t>组织召开监督检查会议的次数</w:t>
            </w:r>
          </w:p>
        </w:tc>
        <w:tc>
          <w:tcPr>
            <w:tcW w:w="1445" w:type="dxa"/>
            <w:noWrap w:val="0"/>
            <w:vAlign w:val="center"/>
          </w:tcPr>
          <w:p>
            <w:pPr>
              <w:pStyle w:val="18"/>
            </w:pPr>
            <w:r>
              <w:t>≥5次</w:t>
            </w:r>
          </w:p>
        </w:tc>
        <w:tc>
          <w:tcPr>
            <w:tcW w:w="3778"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0"/>
            <w:vAlign w:val="center"/>
          </w:tcPr>
          <w:p/>
        </w:tc>
        <w:tc>
          <w:tcPr>
            <w:tcW w:w="1309" w:type="dxa"/>
            <w:noWrap w:val="0"/>
            <w:vAlign w:val="center"/>
          </w:tcPr>
          <w:p>
            <w:pPr>
              <w:pStyle w:val="18"/>
            </w:pPr>
            <w:r>
              <w:t>质量指标</w:t>
            </w:r>
          </w:p>
        </w:tc>
        <w:tc>
          <w:tcPr>
            <w:tcW w:w="1432" w:type="dxa"/>
            <w:noWrap w:val="0"/>
            <w:vAlign w:val="center"/>
          </w:tcPr>
          <w:p>
            <w:pPr>
              <w:pStyle w:val="18"/>
            </w:pPr>
            <w:r>
              <w:t>案件办结率</w:t>
            </w:r>
          </w:p>
        </w:tc>
        <w:tc>
          <w:tcPr>
            <w:tcW w:w="3791" w:type="dxa"/>
            <w:noWrap w:val="0"/>
            <w:vAlign w:val="center"/>
          </w:tcPr>
          <w:p>
            <w:pPr>
              <w:pStyle w:val="18"/>
            </w:pPr>
            <w:r>
              <w:t>办结案件数量占立案案件总数的比率</w:t>
            </w:r>
          </w:p>
        </w:tc>
        <w:tc>
          <w:tcPr>
            <w:tcW w:w="1445" w:type="dxa"/>
            <w:noWrap w:val="0"/>
            <w:vAlign w:val="center"/>
          </w:tcPr>
          <w:p>
            <w:pPr>
              <w:pStyle w:val="18"/>
            </w:pPr>
            <w:r>
              <w:t>≥90百分比</w:t>
            </w:r>
          </w:p>
        </w:tc>
        <w:tc>
          <w:tcPr>
            <w:tcW w:w="3778"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0"/>
            <w:vAlign w:val="center"/>
          </w:tcPr>
          <w:p/>
        </w:tc>
        <w:tc>
          <w:tcPr>
            <w:tcW w:w="1309" w:type="dxa"/>
            <w:noWrap w:val="0"/>
            <w:vAlign w:val="center"/>
          </w:tcPr>
          <w:p>
            <w:pPr>
              <w:pStyle w:val="18"/>
            </w:pPr>
            <w:r>
              <w:t>时效指标</w:t>
            </w:r>
          </w:p>
        </w:tc>
        <w:tc>
          <w:tcPr>
            <w:tcW w:w="1432" w:type="dxa"/>
            <w:noWrap w:val="0"/>
            <w:vAlign w:val="center"/>
          </w:tcPr>
          <w:p>
            <w:pPr>
              <w:pStyle w:val="18"/>
            </w:pPr>
            <w:r>
              <w:t>年度项目完成情况</w:t>
            </w:r>
          </w:p>
        </w:tc>
        <w:tc>
          <w:tcPr>
            <w:tcW w:w="3791" w:type="dxa"/>
            <w:noWrap w:val="0"/>
            <w:vAlign w:val="center"/>
          </w:tcPr>
          <w:p>
            <w:pPr>
              <w:pStyle w:val="18"/>
            </w:pPr>
            <w:r>
              <w:t>年度项目按规定时间点完成</w:t>
            </w:r>
          </w:p>
        </w:tc>
        <w:tc>
          <w:tcPr>
            <w:tcW w:w="1445" w:type="dxa"/>
            <w:noWrap w:val="0"/>
            <w:vAlign w:val="center"/>
          </w:tcPr>
          <w:p>
            <w:pPr>
              <w:pStyle w:val="18"/>
            </w:pPr>
            <w:r>
              <w:t>≥90百分比</w:t>
            </w:r>
          </w:p>
        </w:tc>
        <w:tc>
          <w:tcPr>
            <w:tcW w:w="3778"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0"/>
            <w:vAlign w:val="center"/>
          </w:tcPr>
          <w:p/>
        </w:tc>
        <w:tc>
          <w:tcPr>
            <w:tcW w:w="1309" w:type="dxa"/>
            <w:noWrap w:val="0"/>
            <w:vAlign w:val="center"/>
          </w:tcPr>
          <w:p>
            <w:pPr>
              <w:pStyle w:val="18"/>
            </w:pPr>
            <w:r>
              <w:t>成本指标</w:t>
            </w:r>
          </w:p>
        </w:tc>
        <w:tc>
          <w:tcPr>
            <w:tcW w:w="1432" w:type="dxa"/>
            <w:noWrap w:val="0"/>
            <w:vAlign w:val="center"/>
          </w:tcPr>
          <w:p>
            <w:pPr>
              <w:pStyle w:val="18"/>
            </w:pPr>
            <w:r>
              <w:t>经费控制数</w:t>
            </w:r>
          </w:p>
        </w:tc>
        <w:tc>
          <w:tcPr>
            <w:tcW w:w="3791" w:type="dxa"/>
            <w:noWrap w:val="0"/>
            <w:vAlign w:val="center"/>
          </w:tcPr>
          <w:p>
            <w:pPr>
              <w:pStyle w:val="18"/>
            </w:pPr>
            <w:r>
              <w:t>经费控制数</w:t>
            </w:r>
          </w:p>
        </w:tc>
        <w:tc>
          <w:tcPr>
            <w:tcW w:w="1445" w:type="dxa"/>
            <w:noWrap w:val="0"/>
            <w:vAlign w:val="center"/>
          </w:tcPr>
          <w:p>
            <w:pPr>
              <w:pStyle w:val="18"/>
            </w:pPr>
            <w:r>
              <w:t>≤1万元</w:t>
            </w:r>
          </w:p>
        </w:tc>
        <w:tc>
          <w:tcPr>
            <w:tcW w:w="3778"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noWrap w:val="0"/>
            <w:vAlign w:val="center"/>
          </w:tcPr>
          <w:p>
            <w:pPr>
              <w:pStyle w:val="19"/>
            </w:pPr>
            <w:r>
              <w:t>效益指标</w:t>
            </w:r>
          </w:p>
        </w:tc>
        <w:tc>
          <w:tcPr>
            <w:tcW w:w="1309" w:type="dxa"/>
            <w:noWrap w:val="0"/>
            <w:vAlign w:val="center"/>
          </w:tcPr>
          <w:p>
            <w:pPr>
              <w:pStyle w:val="18"/>
            </w:pPr>
            <w:r>
              <w:t>社会效益指标</w:t>
            </w:r>
          </w:p>
        </w:tc>
        <w:tc>
          <w:tcPr>
            <w:tcW w:w="1432" w:type="dxa"/>
            <w:noWrap w:val="0"/>
            <w:vAlign w:val="center"/>
          </w:tcPr>
          <w:p>
            <w:pPr>
              <w:pStyle w:val="18"/>
            </w:pPr>
            <w:r>
              <w:t>社会会影响力</w:t>
            </w:r>
          </w:p>
        </w:tc>
        <w:tc>
          <w:tcPr>
            <w:tcW w:w="3791" w:type="dxa"/>
            <w:noWrap w:val="0"/>
            <w:vAlign w:val="center"/>
          </w:tcPr>
          <w:p>
            <w:pPr>
              <w:pStyle w:val="18"/>
            </w:pPr>
            <w:r>
              <w:t>在本地区产生的重要影响，得到广大受众的充分认可</w:t>
            </w:r>
          </w:p>
        </w:tc>
        <w:tc>
          <w:tcPr>
            <w:tcW w:w="1445" w:type="dxa"/>
            <w:noWrap w:val="0"/>
            <w:vAlign w:val="center"/>
          </w:tcPr>
          <w:p>
            <w:pPr>
              <w:pStyle w:val="18"/>
            </w:pPr>
            <w:r>
              <w:t>≥90百分比</w:t>
            </w:r>
          </w:p>
        </w:tc>
        <w:tc>
          <w:tcPr>
            <w:tcW w:w="3778"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noWrap w:val="0"/>
            <w:vAlign w:val="center"/>
          </w:tcPr>
          <w:p>
            <w:pPr>
              <w:pStyle w:val="19"/>
            </w:pPr>
            <w:r>
              <w:t>满意度指标</w:t>
            </w:r>
          </w:p>
        </w:tc>
        <w:tc>
          <w:tcPr>
            <w:tcW w:w="1309" w:type="dxa"/>
            <w:noWrap w:val="0"/>
            <w:vAlign w:val="center"/>
          </w:tcPr>
          <w:p>
            <w:pPr>
              <w:pStyle w:val="18"/>
            </w:pPr>
            <w:r>
              <w:t>服务对象满意度指标</w:t>
            </w:r>
          </w:p>
        </w:tc>
        <w:tc>
          <w:tcPr>
            <w:tcW w:w="1432" w:type="dxa"/>
            <w:noWrap w:val="0"/>
            <w:vAlign w:val="center"/>
          </w:tcPr>
          <w:p>
            <w:pPr>
              <w:pStyle w:val="18"/>
            </w:pPr>
            <w:r>
              <w:t>群众满意度</w:t>
            </w:r>
          </w:p>
        </w:tc>
        <w:tc>
          <w:tcPr>
            <w:tcW w:w="3791" w:type="dxa"/>
            <w:noWrap w:val="0"/>
            <w:vAlign w:val="center"/>
          </w:tcPr>
          <w:p>
            <w:pPr>
              <w:pStyle w:val="18"/>
            </w:pPr>
            <w:r>
              <w:t>群众对当年纪检监督工作的整体满意度</w:t>
            </w:r>
          </w:p>
        </w:tc>
        <w:tc>
          <w:tcPr>
            <w:tcW w:w="1445" w:type="dxa"/>
            <w:noWrap w:val="0"/>
            <w:vAlign w:val="center"/>
          </w:tcPr>
          <w:p>
            <w:pPr>
              <w:pStyle w:val="18"/>
            </w:pPr>
            <w:r>
              <w:t>≥90百分比</w:t>
            </w:r>
          </w:p>
        </w:tc>
        <w:tc>
          <w:tcPr>
            <w:tcW w:w="3778" w:type="dxa"/>
            <w:noWrap w:val="0"/>
            <w:vAlign w:val="center"/>
          </w:tcPr>
          <w:p>
            <w:pPr>
              <w:pStyle w:val="18"/>
            </w:pPr>
            <w:r>
              <w:t>依据工作方案</w:t>
            </w:r>
          </w:p>
        </w:tc>
      </w:tr>
    </w:tbl>
    <w:p>
      <w:pPr>
        <w:spacing w:line="2" w:lineRule="exact"/>
        <w:jc w:val="center"/>
      </w:pPr>
    </w:p>
    <w:p>
      <w:pPr>
        <w:bidi w:val="0"/>
        <w:rPr>
          <w:rFonts w:ascii="Times New Roman" w:hAnsi="Times New Roman" w:eastAsia="宋体" w:cs="Times New Roman"/>
          <w:sz w:val="24"/>
          <w:szCs w:val="24"/>
          <w:lang w:val="en-US" w:eastAsia="uk-UA" w:bidi="ar-SA"/>
        </w:rPr>
      </w:pPr>
    </w:p>
    <w:p>
      <w:pPr>
        <w:bidi w:val="0"/>
        <w:rPr>
          <w:lang w:val="en-US" w:eastAsia="uk-UA"/>
        </w:rPr>
      </w:pPr>
    </w:p>
    <w:p>
      <w:pPr>
        <w:tabs>
          <w:tab w:val="left" w:pos="854"/>
        </w:tabs>
        <w:bidi w:val="0"/>
        <w:jc w:val="left"/>
        <w:rPr>
          <w:rFonts w:hint="eastAsia" w:eastAsia="宋体"/>
          <w:lang w:val="en-US" w:eastAsia="zh-CN"/>
        </w:r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农村文化建设资金（年初）绩效目标表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135"/>
        <w:gridCol w:w="1884"/>
        <w:gridCol w:w="4091"/>
        <w:gridCol w:w="1664"/>
        <w:gridCol w:w="398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gridSpan w:val="5"/>
            <w:tcBorders>
              <w:bottom w:val="single" w:color="FFFFFF" w:sz="6" w:space="0"/>
            </w:tcBorders>
            <w:vAlign w:val="center"/>
          </w:tcPr>
          <w:p>
            <w:pPr>
              <w:pStyle w:val="18"/>
            </w:pPr>
            <w:r>
              <w:rPr>
                <w:rFonts w:hint="eastAsia"/>
              </w:rPr>
              <w:t>1.加强文化队伍和村级文化阵地建设，营造镇域文化氛围，发掘民间艺术资源以及开展群娱活动。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6"/>
            </w:pPr>
            <w:r>
              <w:t>一级指标</w:t>
            </w:r>
          </w:p>
        </w:tc>
        <w:tc>
          <w:tcPr>
            <w:tcW w:w="1135" w:type="dxa"/>
            <w:noWrap w:val="0"/>
            <w:vAlign w:val="center"/>
          </w:tcPr>
          <w:p>
            <w:pPr>
              <w:pStyle w:val="16"/>
            </w:pPr>
            <w:r>
              <w:t>二级指标</w:t>
            </w:r>
          </w:p>
        </w:tc>
        <w:tc>
          <w:tcPr>
            <w:tcW w:w="1884" w:type="dxa"/>
            <w:noWrap w:val="0"/>
            <w:vAlign w:val="center"/>
          </w:tcPr>
          <w:p>
            <w:pPr>
              <w:pStyle w:val="16"/>
            </w:pPr>
            <w:r>
              <w:t>三级指标</w:t>
            </w:r>
          </w:p>
        </w:tc>
        <w:tc>
          <w:tcPr>
            <w:tcW w:w="4091" w:type="dxa"/>
            <w:noWrap w:val="0"/>
            <w:vAlign w:val="center"/>
          </w:tcPr>
          <w:p>
            <w:pPr>
              <w:pStyle w:val="16"/>
            </w:pPr>
            <w:r>
              <w:t>绩效指标描述</w:t>
            </w:r>
          </w:p>
        </w:tc>
        <w:tc>
          <w:tcPr>
            <w:tcW w:w="1664" w:type="dxa"/>
            <w:noWrap w:val="0"/>
            <w:vAlign w:val="center"/>
          </w:tcPr>
          <w:p>
            <w:pPr>
              <w:pStyle w:val="16"/>
            </w:pPr>
            <w:r>
              <w:t>指标值</w:t>
            </w:r>
          </w:p>
        </w:tc>
        <w:tc>
          <w:tcPr>
            <w:tcW w:w="3982"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noWrap w:val="0"/>
            <w:vAlign w:val="center"/>
          </w:tcPr>
          <w:p>
            <w:pPr>
              <w:pStyle w:val="19"/>
            </w:pPr>
            <w:r>
              <w:t>产出指标</w:t>
            </w:r>
          </w:p>
        </w:tc>
        <w:tc>
          <w:tcPr>
            <w:tcW w:w="1135" w:type="dxa"/>
            <w:noWrap w:val="0"/>
            <w:vAlign w:val="center"/>
          </w:tcPr>
          <w:p>
            <w:pPr>
              <w:pStyle w:val="18"/>
            </w:pPr>
            <w:r>
              <w:t>数量指标</w:t>
            </w:r>
          </w:p>
        </w:tc>
        <w:tc>
          <w:tcPr>
            <w:tcW w:w="1884" w:type="dxa"/>
            <w:noWrap w:val="0"/>
            <w:vAlign w:val="center"/>
          </w:tcPr>
          <w:p>
            <w:pPr>
              <w:pStyle w:val="18"/>
            </w:pPr>
            <w:r>
              <w:t>公共文化服务活动数量</w:t>
            </w:r>
          </w:p>
        </w:tc>
        <w:tc>
          <w:tcPr>
            <w:tcW w:w="4091" w:type="dxa"/>
            <w:noWrap w:val="0"/>
            <w:vAlign w:val="center"/>
          </w:tcPr>
          <w:p>
            <w:pPr>
              <w:pStyle w:val="18"/>
            </w:pPr>
            <w:r>
              <w:t>各类公共文化服务活动组织开展的数量</w:t>
            </w:r>
          </w:p>
        </w:tc>
        <w:tc>
          <w:tcPr>
            <w:tcW w:w="1664" w:type="dxa"/>
            <w:noWrap w:val="0"/>
            <w:vAlign w:val="center"/>
          </w:tcPr>
          <w:p>
            <w:pPr>
              <w:pStyle w:val="18"/>
            </w:pPr>
            <w:r>
              <w:t>≥10次</w:t>
            </w:r>
          </w:p>
        </w:tc>
        <w:tc>
          <w:tcPr>
            <w:tcW w:w="3982"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0"/>
            <w:vAlign w:val="center"/>
          </w:tcPr>
          <w:p/>
        </w:tc>
        <w:tc>
          <w:tcPr>
            <w:tcW w:w="1135" w:type="dxa"/>
            <w:noWrap w:val="0"/>
            <w:vAlign w:val="center"/>
          </w:tcPr>
          <w:p>
            <w:pPr>
              <w:pStyle w:val="18"/>
            </w:pPr>
            <w:r>
              <w:t>质量指标</w:t>
            </w:r>
          </w:p>
        </w:tc>
        <w:tc>
          <w:tcPr>
            <w:tcW w:w="1884" w:type="dxa"/>
            <w:noWrap w:val="0"/>
            <w:vAlign w:val="center"/>
          </w:tcPr>
          <w:p>
            <w:pPr>
              <w:pStyle w:val="18"/>
            </w:pPr>
            <w:r>
              <w:t>文化设施达标率</w:t>
            </w:r>
          </w:p>
        </w:tc>
        <w:tc>
          <w:tcPr>
            <w:tcW w:w="4091" w:type="dxa"/>
            <w:noWrap w:val="0"/>
            <w:vAlign w:val="center"/>
          </w:tcPr>
          <w:p>
            <w:pPr>
              <w:pStyle w:val="18"/>
            </w:pPr>
            <w:r>
              <w:t>省内实际文化设施达标数量占文化设施总数的比率</w:t>
            </w:r>
          </w:p>
        </w:tc>
        <w:tc>
          <w:tcPr>
            <w:tcW w:w="1664" w:type="dxa"/>
            <w:noWrap w:val="0"/>
            <w:vAlign w:val="center"/>
          </w:tcPr>
          <w:p>
            <w:pPr>
              <w:pStyle w:val="18"/>
            </w:pPr>
            <w:r>
              <w:t>≥90百分比</w:t>
            </w:r>
          </w:p>
        </w:tc>
        <w:tc>
          <w:tcPr>
            <w:tcW w:w="3982"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0"/>
            <w:vAlign w:val="center"/>
          </w:tcPr>
          <w:p/>
        </w:tc>
        <w:tc>
          <w:tcPr>
            <w:tcW w:w="1135" w:type="dxa"/>
            <w:noWrap w:val="0"/>
            <w:vAlign w:val="center"/>
          </w:tcPr>
          <w:p>
            <w:pPr>
              <w:pStyle w:val="18"/>
            </w:pPr>
            <w:r>
              <w:t>时效指标</w:t>
            </w:r>
          </w:p>
        </w:tc>
        <w:tc>
          <w:tcPr>
            <w:tcW w:w="1884" w:type="dxa"/>
            <w:noWrap w:val="0"/>
            <w:vAlign w:val="center"/>
          </w:tcPr>
          <w:p>
            <w:pPr>
              <w:pStyle w:val="18"/>
            </w:pPr>
            <w:r>
              <w:t>年度项目完成情况</w:t>
            </w:r>
          </w:p>
        </w:tc>
        <w:tc>
          <w:tcPr>
            <w:tcW w:w="4091" w:type="dxa"/>
            <w:noWrap w:val="0"/>
            <w:vAlign w:val="center"/>
          </w:tcPr>
          <w:p>
            <w:pPr>
              <w:pStyle w:val="18"/>
            </w:pPr>
            <w:r>
              <w:t>年度项目按规定时间点完成</w:t>
            </w:r>
          </w:p>
        </w:tc>
        <w:tc>
          <w:tcPr>
            <w:tcW w:w="1664" w:type="dxa"/>
            <w:noWrap w:val="0"/>
            <w:vAlign w:val="center"/>
          </w:tcPr>
          <w:p>
            <w:pPr>
              <w:pStyle w:val="18"/>
            </w:pPr>
            <w:r>
              <w:t>≥90百分比</w:t>
            </w:r>
          </w:p>
        </w:tc>
        <w:tc>
          <w:tcPr>
            <w:tcW w:w="3982"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0"/>
            <w:vAlign w:val="center"/>
          </w:tcPr>
          <w:p/>
        </w:tc>
        <w:tc>
          <w:tcPr>
            <w:tcW w:w="1135" w:type="dxa"/>
            <w:noWrap w:val="0"/>
            <w:vAlign w:val="center"/>
          </w:tcPr>
          <w:p>
            <w:pPr>
              <w:pStyle w:val="18"/>
            </w:pPr>
            <w:r>
              <w:t>成本指标</w:t>
            </w:r>
          </w:p>
        </w:tc>
        <w:tc>
          <w:tcPr>
            <w:tcW w:w="1884" w:type="dxa"/>
            <w:noWrap w:val="0"/>
            <w:vAlign w:val="center"/>
          </w:tcPr>
          <w:p>
            <w:pPr>
              <w:pStyle w:val="18"/>
            </w:pPr>
            <w:r>
              <w:t>经费控制数</w:t>
            </w:r>
          </w:p>
        </w:tc>
        <w:tc>
          <w:tcPr>
            <w:tcW w:w="4091" w:type="dxa"/>
            <w:noWrap w:val="0"/>
            <w:vAlign w:val="center"/>
          </w:tcPr>
          <w:p>
            <w:pPr>
              <w:pStyle w:val="18"/>
            </w:pPr>
            <w:r>
              <w:t>经费控制数</w:t>
            </w:r>
          </w:p>
        </w:tc>
        <w:tc>
          <w:tcPr>
            <w:tcW w:w="1664" w:type="dxa"/>
            <w:noWrap w:val="0"/>
            <w:vAlign w:val="center"/>
          </w:tcPr>
          <w:p>
            <w:pPr>
              <w:pStyle w:val="18"/>
            </w:pPr>
            <w:r>
              <w:t>≤1.75万元</w:t>
            </w:r>
          </w:p>
        </w:tc>
        <w:tc>
          <w:tcPr>
            <w:tcW w:w="3982"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9"/>
            </w:pPr>
            <w:r>
              <w:t>效益指标</w:t>
            </w:r>
          </w:p>
        </w:tc>
        <w:tc>
          <w:tcPr>
            <w:tcW w:w="1135" w:type="dxa"/>
            <w:noWrap w:val="0"/>
            <w:vAlign w:val="center"/>
          </w:tcPr>
          <w:p>
            <w:pPr>
              <w:pStyle w:val="18"/>
            </w:pPr>
            <w:r>
              <w:t>社会效益指标</w:t>
            </w:r>
          </w:p>
        </w:tc>
        <w:tc>
          <w:tcPr>
            <w:tcW w:w="1884" w:type="dxa"/>
            <w:noWrap w:val="0"/>
            <w:vAlign w:val="center"/>
          </w:tcPr>
          <w:p>
            <w:pPr>
              <w:pStyle w:val="18"/>
            </w:pPr>
            <w:r>
              <w:t>对宣传文化事业发展促进推动作用</w:t>
            </w:r>
          </w:p>
        </w:tc>
        <w:tc>
          <w:tcPr>
            <w:tcW w:w="4091" w:type="dxa"/>
            <w:noWrap w:val="0"/>
            <w:vAlign w:val="center"/>
          </w:tcPr>
          <w:p>
            <w:pPr>
              <w:pStyle w:val="18"/>
            </w:pPr>
            <w:r>
              <w:t>通过支持重点宣传文化项目建设，带动全省宣传文化事业发展的效果</w:t>
            </w:r>
          </w:p>
        </w:tc>
        <w:tc>
          <w:tcPr>
            <w:tcW w:w="1664" w:type="dxa"/>
            <w:noWrap w:val="0"/>
            <w:vAlign w:val="center"/>
          </w:tcPr>
          <w:p>
            <w:pPr>
              <w:pStyle w:val="18"/>
            </w:pPr>
            <w:r>
              <w:t>≥90百分比</w:t>
            </w:r>
          </w:p>
        </w:tc>
        <w:tc>
          <w:tcPr>
            <w:tcW w:w="3982"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9"/>
            </w:pPr>
            <w:r>
              <w:t>满意度指标</w:t>
            </w:r>
          </w:p>
        </w:tc>
        <w:tc>
          <w:tcPr>
            <w:tcW w:w="1135" w:type="dxa"/>
            <w:noWrap w:val="0"/>
            <w:vAlign w:val="center"/>
          </w:tcPr>
          <w:p>
            <w:pPr>
              <w:pStyle w:val="18"/>
            </w:pPr>
            <w:r>
              <w:t>服务对象满意度指标</w:t>
            </w:r>
          </w:p>
        </w:tc>
        <w:tc>
          <w:tcPr>
            <w:tcW w:w="1884" w:type="dxa"/>
            <w:noWrap w:val="0"/>
            <w:vAlign w:val="center"/>
          </w:tcPr>
          <w:p>
            <w:pPr>
              <w:pStyle w:val="18"/>
            </w:pPr>
            <w:r>
              <w:t>群众满意度</w:t>
            </w:r>
          </w:p>
        </w:tc>
        <w:tc>
          <w:tcPr>
            <w:tcW w:w="4091" w:type="dxa"/>
            <w:noWrap w:val="0"/>
            <w:vAlign w:val="center"/>
          </w:tcPr>
          <w:p>
            <w:pPr>
              <w:pStyle w:val="18"/>
            </w:pPr>
            <w:r>
              <w:t>接受乡镇政府服务的人群对乡镇政府所提供服务的满意程度</w:t>
            </w:r>
          </w:p>
        </w:tc>
        <w:tc>
          <w:tcPr>
            <w:tcW w:w="1664" w:type="dxa"/>
            <w:noWrap w:val="0"/>
            <w:vAlign w:val="center"/>
          </w:tcPr>
          <w:p>
            <w:pPr>
              <w:pStyle w:val="18"/>
            </w:pPr>
            <w:r>
              <w:t>≥90百分比</w:t>
            </w:r>
          </w:p>
        </w:tc>
        <w:tc>
          <w:tcPr>
            <w:tcW w:w="3982" w:type="dxa"/>
            <w:noWrap w:val="0"/>
            <w:vAlign w:val="center"/>
          </w:tcPr>
          <w:p>
            <w:pPr>
              <w:pStyle w:val="18"/>
            </w:pPr>
            <w:r>
              <w:t>依据工作方案</w:t>
            </w:r>
          </w:p>
        </w:tc>
      </w:tr>
    </w:tbl>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人大主席团活动经费（年初）绩效目标表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276"/>
        <w:gridCol w:w="141"/>
        <w:gridCol w:w="1135"/>
        <w:gridCol w:w="2239"/>
        <w:gridCol w:w="4227"/>
        <w:gridCol w:w="1991"/>
        <w:gridCol w:w="3164"/>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gridSpan w:val="2"/>
            <w:tcBorders>
              <w:bottom w:val="single" w:color="FFFFFF" w:sz="6" w:space="0"/>
            </w:tcBorders>
            <w:vAlign w:val="center"/>
          </w:tcPr>
          <w:p>
            <w:pPr>
              <w:pStyle w:val="16"/>
            </w:pPr>
            <w:r>
              <w:t>绩效目标</w:t>
            </w:r>
          </w:p>
        </w:tc>
        <w:tc>
          <w:tcPr>
            <w:tcW w:w="12756" w:type="dxa"/>
            <w:gridSpan w:val="5"/>
            <w:tcBorders>
              <w:bottom w:val="single" w:color="FFFFFF" w:sz="6" w:space="0"/>
            </w:tcBorders>
            <w:vAlign w:val="center"/>
          </w:tcPr>
          <w:p>
            <w:pPr>
              <w:pStyle w:val="18"/>
            </w:pPr>
            <w:r>
              <w:rPr>
                <w:rFonts w:hint="eastAsia"/>
              </w:rPr>
              <w:t>1.落实中央2015（18）号文件精神和省委市委落实中央18号文件的意见，切实加强基层人大建设，保障乡人大主席团的正常运转。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gridSpan w:val="2"/>
            <w:noWrap w:val="0"/>
            <w:vAlign w:val="center"/>
          </w:tcPr>
          <w:p>
            <w:pPr>
              <w:pStyle w:val="16"/>
            </w:pPr>
            <w:r>
              <w:t>二级指标</w:t>
            </w:r>
          </w:p>
        </w:tc>
        <w:tc>
          <w:tcPr>
            <w:tcW w:w="2239" w:type="dxa"/>
            <w:noWrap w:val="0"/>
            <w:vAlign w:val="center"/>
          </w:tcPr>
          <w:p>
            <w:pPr>
              <w:pStyle w:val="16"/>
            </w:pPr>
            <w:r>
              <w:t>三级指标</w:t>
            </w:r>
          </w:p>
        </w:tc>
        <w:tc>
          <w:tcPr>
            <w:tcW w:w="4227" w:type="dxa"/>
            <w:noWrap w:val="0"/>
            <w:vAlign w:val="center"/>
          </w:tcPr>
          <w:p>
            <w:pPr>
              <w:pStyle w:val="16"/>
            </w:pPr>
            <w:r>
              <w:t>绩效指标描述</w:t>
            </w:r>
          </w:p>
        </w:tc>
        <w:tc>
          <w:tcPr>
            <w:tcW w:w="1991" w:type="dxa"/>
            <w:noWrap w:val="0"/>
            <w:vAlign w:val="center"/>
          </w:tcPr>
          <w:p>
            <w:pPr>
              <w:pStyle w:val="16"/>
            </w:pPr>
            <w:r>
              <w:t>指标值</w:t>
            </w:r>
          </w:p>
        </w:tc>
        <w:tc>
          <w:tcPr>
            <w:tcW w:w="3164"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gridSpan w:val="2"/>
            <w:noWrap w:val="0"/>
            <w:vAlign w:val="center"/>
          </w:tcPr>
          <w:p>
            <w:pPr>
              <w:pStyle w:val="18"/>
            </w:pPr>
            <w:r>
              <w:t>数量指标</w:t>
            </w:r>
          </w:p>
        </w:tc>
        <w:tc>
          <w:tcPr>
            <w:tcW w:w="2239" w:type="dxa"/>
            <w:noWrap w:val="0"/>
            <w:vAlign w:val="center"/>
          </w:tcPr>
          <w:p>
            <w:pPr>
              <w:pStyle w:val="18"/>
            </w:pPr>
            <w:r>
              <w:t>参与政府决策活动次数</w:t>
            </w:r>
          </w:p>
        </w:tc>
        <w:tc>
          <w:tcPr>
            <w:tcW w:w="4227" w:type="dxa"/>
            <w:noWrap w:val="0"/>
            <w:vAlign w:val="center"/>
          </w:tcPr>
          <w:p>
            <w:pPr>
              <w:pStyle w:val="18"/>
            </w:pPr>
            <w:r>
              <w:t>参与决策咨询活动次数</w:t>
            </w:r>
          </w:p>
        </w:tc>
        <w:tc>
          <w:tcPr>
            <w:tcW w:w="1991" w:type="dxa"/>
            <w:noWrap w:val="0"/>
            <w:vAlign w:val="center"/>
          </w:tcPr>
          <w:p>
            <w:pPr>
              <w:pStyle w:val="18"/>
            </w:pPr>
            <w:r>
              <w:t>≥5次</w:t>
            </w:r>
          </w:p>
        </w:tc>
        <w:tc>
          <w:tcPr>
            <w:tcW w:w="3164"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gridSpan w:val="2"/>
            <w:noWrap w:val="0"/>
            <w:vAlign w:val="center"/>
          </w:tcPr>
          <w:p>
            <w:pPr>
              <w:pStyle w:val="18"/>
            </w:pPr>
            <w:r>
              <w:t>质量指标</w:t>
            </w:r>
          </w:p>
        </w:tc>
        <w:tc>
          <w:tcPr>
            <w:tcW w:w="2239" w:type="dxa"/>
            <w:noWrap w:val="0"/>
            <w:vAlign w:val="center"/>
          </w:tcPr>
          <w:p>
            <w:pPr>
              <w:pStyle w:val="18"/>
            </w:pPr>
            <w:r>
              <w:t>工作经费使用率</w:t>
            </w:r>
          </w:p>
        </w:tc>
        <w:tc>
          <w:tcPr>
            <w:tcW w:w="4227" w:type="dxa"/>
            <w:noWrap w:val="0"/>
            <w:vAlign w:val="center"/>
          </w:tcPr>
          <w:p>
            <w:pPr>
              <w:pStyle w:val="18"/>
            </w:pPr>
            <w:r>
              <w:t>经费使用占拨付经费的比率</w:t>
            </w:r>
          </w:p>
        </w:tc>
        <w:tc>
          <w:tcPr>
            <w:tcW w:w="1991" w:type="dxa"/>
            <w:noWrap w:val="0"/>
            <w:vAlign w:val="center"/>
          </w:tcPr>
          <w:p>
            <w:pPr>
              <w:pStyle w:val="18"/>
            </w:pPr>
            <w:r>
              <w:t>≥85百分比</w:t>
            </w:r>
          </w:p>
        </w:tc>
        <w:tc>
          <w:tcPr>
            <w:tcW w:w="3164"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gridSpan w:val="2"/>
            <w:noWrap w:val="0"/>
            <w:vAlign w:val="center"/>
          </w:tcPr>
          <w:p>
            <w:pPr>
              <w:pStyle w:val="18"/>
            </w:pPr>
            <w:r>
              <w:t>时效指标</w:t>
            </w:r>
          </w:p>
        </w:tc>
        <w:tc>
          <w:tcPr>
            <w:tcW w:w="2239" w:type="dxa"/>
            <w:noWrap w:val="0"/>
            <w:vAlign w:val="center"/>
          </w:tcPr>
          <w:p>
            <w:pPr>
              <w:pStyle w:val="18"/>
            </w:pPr>
            <w:r>
              <w:t>年度项目完成情况</w:t>
            </w:r>
          </w:p>
        </w:tc>
        <w:tc>
          <w:tcPr>
            <w:tcW w:w="4227" w:type="dxa"/>
            <w:noWrap w:val="0"/>
            <w:vAlign w:val="center"/>
          </w:tcPr>
          <w:p>
            <w:pPr>
              <w:pStyle w:val="18"/>
            </w:pPr>
            <w:r>
              <w:t>年度项目按规定时间点完成</w:t>
            </w:r>
          </w:p>
        </w:tc>
        <w:tc>
          <w:tcPr>
            <w:tcW w:w="1991" w:type="dxa"/>
            <w:noWrap w:val="0"/>
            <w:vAlign w:val="center"/>
          </w:tcPr>
          <w:p>
            <w:pPr>
              <w:pStyle w:val="18"/>
            </w:pPr>
            <w:r>
              <w:t>≥90百分比</w:t>
            </w:r>
          </w:p>
        </w:tc>
        <w:tc>
          <w:tcPr>
            <w:tcW w:w="3164"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gridSpan w:val="2"/>
            <w:noWrap w:val="0"/>
            <w:vAlign w:val="center"/>
          </w:tcPr>
          <w:p>
            <w:pPr>
              <w:pStyle w:val="18"/>
            </w:pPr>
            <w:r>
              <w:t>成本指标</w:t>
            </w:r>
          </w:p>
        </w:tc>
        <w:tc>
          <w:tcPr>
            <w:tcW w:w="2239" w:type="dxa"/>
            <w:noWrap w:val="0"/>
            <w:vAlign w:val="center"/>
          </w:tcPr>
          <w:p>
            <w:pPr>
              <w:pStyle w:val="18"/>
            </w:pPr>
            <w:r>
              <w:t>经费控制数</w:t>
            </w:r>
          </w:p>
        </w:tc>
        <w:tc>
          <w:tcPr>
            <w:tcW w:w="4227" w:type="dxa"/>
            <w:noWrap w:val="0"/>
            <w:vAlign w:val="center"/>
          </w:tcPr>
          <w:p>
            <w:pPr>
              <w:pStyle w:val="18"/>
            </w:pPr>
            <w:r>
              <w:t>经费控制数</w:t>
            </w:r>
          </w:p>
        </w:tc>
        <w:tc>
          <w:tcPr>
            <w:tcW w:w="1991" w:type="dxa"/>
            <w:noWrap w:val="0"/>
            <w:vAlign w:val="center"/>
          </w:tcPr>
          <w:p>
            <w:pPr>
              <w:pStyle w:val="18"/>
            </w:pPr>
            <w:r>
              <w:t>≤3万元</w:t>
            </w:r>
          </w:p>
        </w:tc>
        <w:tc>
          <w:tcPr>
            <w:tcW w:w="3164"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gridSpan w:val="2"/>
            <w:noWrap w:val="0"/>
            <w:vAlign w:val="center"/>
          </w:tcPr>
          <w:p>
            <w:pPr>
              <w:pStyle w:val="18"/>
            </w:pPr>
            <w:r>
              <w:t>社会效益指标</w:t>
            </w:r>
          </w:p>
        </w:tc>
        <w:tc>
          <w:tcPr>
            <w:tcW w:w="2239" w:type="dxa"/>
            <w:noWrap w:val="0"/>
            <w:vAlign w:val="center"/>
          </w:tcPr>
          <w:p>
            <w:pPr>
              <w:pStyle w:val="18"/>
            </w:pPr>
            <w:r>
              <w:t>社会影响力</w:t>
            </w:r>
          </w:p>
        </w:tc>
        <w:tc>
          <w:tcPr>
            <w:tcW w:w="4227" w:type="dxa"/>
            <w:noWrap w:val="0"/>
            <w:vAlign w:val="center"/>
          </w:tcPr>
          <w:p>
            <w:pPr>
              <w:pStyle w:val="18"/>
            </w:pPr>
            <w:r>
              <w:t>在本地区产生的重要影响，得到广大受众的充分认可。</w:t>
            </w:r>
          </w:p>
        </w:tc>
        <w:tc>
          <w:tcPr>
            <w:tcW w:w="1991" w:type="dxa"/>
            <w:noWrap w:val="0"/>
            <w:vAlign w:val="center"/>
          </w:tcPr>
          <w:p>
            <w:pPr>
              <w:pStyle w:val="18"/>
            </w:pPr>
            <w:r>
              <w:t>≥85百分比</w:t>
            </w:r>
          </w:p>
        </w:tc>
        <w:tc>
          <w:tcPr>
            <w:tcW w:w="3164"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gridSpan w:val="2"/>
            <w:noWrap w:val="0"/>
            <w:vAlign w:val="center"/>
          </w:tcPr>
          <w:p>
            <w:pPr>
              <w:pStyle w:val="18"/>
            </w:pPr>
            <w:r>
              <w:t>服务对象满意度指标</w:t>
            </w:r>
          </w:p>
        </w:tc>
        <w:tc>
          <w:tcPr>
            <w:tcW w:w="2239" w:type="dxa"/>
            <w:noWrap w:val="0"/>
            <w:vAlign w:val="center"/>
          </w:tcPr>
          <w:p>
            <w:pPr>
              <w:pStyle w:val="18"/>
            </w:pPr>
            <w:r>
              <w:t>群众满意度</w:t>
            </w:r>
          </w:p>
        </w:tc>
        <w:tc>
          <w:tcPr>
            <w:tcW w:w="4227" w:type="dxa"/>
            <w:noWrap w:val="0"/>
            <w:vAlign w:val="center"/>
          </w:tcPr>
          <w:p>
            <w:pPr>
              <w:pStyle w:val="18"/>
            </w:pPr>
            <w:r>
              <w:t>群众对当年人大主席团工作的整体满意度</w:t>
            </w:r>
          </w:p>
        </w:tc>
        <w:tc>
          <w:tcPr>
            <w:tcW w:w="1991" w:type="dxa"/>
            <w:noWrap w:val="0"/>
            <w:vAlign w:val="center"/>
          </w:tcPr>
          <w:p>
            <w:pPr>
              <w:pStyle w:val="18"/>
            </w:pPr>
            <w:r>
              <w:t>≥85百分比</w:t>
            </w:r>
          </w:p>
        </w:tc>
        <w:tc>
          <w:tcPr>
            <w:tcW w:w="3164" w:type="dxa"/>
            <w:noWrap w:val="0"/>
            <w:vAlign w:val="center"/>
          </w:tcPr>
          <w:p>
            <w:pPr>
              <w:pStyle w:val="18"/>
            </w:pPr>
            <w:r>
              <w:t>依据工作方案</w:t>
            </w:r>
          </w:p>
        </w:tc>
      </w:tr>
    </w:tbl>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食安经费（年初）绩效目标表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rPr>
                <w:rFonts w:hint="eastAsia"/>
              </w:rPr>
              <w:t>1.进一步加强本镇食品安全工作，落实食品生产经营者主体责任，增强政府监管效能，发挥社会组织的作用。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9"/>
        <w:gridCol w:w="2113"/>
        <w:gridCol w:w="2291"/>
        <w:gridCol w:w="3802"/>
        <w:gridCol w:w="1276"/>
        <w:gridCol w:w="32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9" w:type="dxa"/>
            <w:noWrap w:val="0"/>
            <w:vAlign w:val="center"/>
          </w:tcPr>
          <w:p>
            <w:pPr>
              <w:pStyle w:val="16"/>
            </w:pPr>
            <w:r>
              <w:t>一级指标</w:t>
            </w:r>
          </w:p>
        </w:tc>
        <w:tc>
          <w:tcPr>
            <w:tcW w:w="2113" w:type="dxa"/>
            <w:noWrap w:val="0"/>
            <w:vAlign w:val="center"/>
          </w:tcPr>
          <w:p>
            <w:pPr>
              <w:pStyle w:val="16"/>
            </w:pPr>
            <w:r>
              <w:t>二级指标</w:t>
            </w:r>
          </w:p>
        </w:tc>
        <w:tc>
          <w:tcPr>
            <w:tcW w:w="2291" w:type="dxa"/>
            <w:noWrap w:val="0"/>
            <w:vAlign w:val="center"/>
          </w:tcPr>
          <w:p>
            <w:pPr>
              <w:pStyle w:val="16"/>
            </w:pPr>
            <w:r>
              <w:t>三级指标</w:t>
            </w:r>
          </w:p>
        </w:tc>
        <w:tc>
          <w:tcPr>
            <w:tcW w:w="3802" w:type="dxa"/>
            <w:noWrap w:val="0"/>
            <w:vAlign w:val="center"/>
          </w:tcPr>
          <w:p>
            <w:pPr>
              <w:pStyle w:val="16"/>
            </w:pPr>
            <w:r>
              <w:t>绩效指标描述</w:t>
            </w:r>
          </w:p>
        </w:tc>
        <w:tc>
          <w:tcPr>
            <w:tcW w:w="1276" w:type="dxa"/>
            <w:noWrap w:val="0"/>
            <w:vAlign w:val="center"/>
          </w:tcPr>
          <w:p>
            <w:pPr>
              <w:pStyle w:val="16"/>
            </w:pPr>
            <w:r>
              <w:t>指标值</w:t>
            </w:r>
          </w:p>
        </w:tc>
        <w:tc>
          <w:tcPr>
            <w:tcW w:w="324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restart"/>
            <w:noWrap w:val="0"/>
            <w:vAlign w:val="center"/>
          </w:tcPr>
          <w:p>
            <w:pPr>
              <w:pStyle w:val="19"/>
            </w:pPr>
            <w:r>
              <w:t>产出指标</w:t>
            </w:r>
          </w:p>
        </w:tc>
        <w:tc>
          <w:tcPr>
            <w:tcW w:w="2113" w:type="dxa"/>
            <w:noWrap w:val="0"/>
            <w:vAlign w:val="center"/>
          </w:tcPr>
          <w:p>
            <w:pPr>
              <w:pStyle w:val="18"/>
            </w:pPr>
            <w:r>
              <w:t>数量指标</w:t>
            </w:r>
          </w:p>
        </w:tc>
        <w:tc>
          <w:tcPr>
            <w:tcW w:w="2291" w:type="dxa"/>
            <w:noWrap w:val="0"/>
            <w:vAlign w:val="center"/>
          </w:tcPr>
          <w:p>
            <w:pPr>
              <w:pStyle w:val="18"/>
            </w:pPr>
            <w:r>
              <w:t>组织宣传活动次数（次）</w:t>
            </w:r>
          </w:p>
        </w:tc>
        <w:tc>
          <w:tcPr>
            <w:tcW w:w="3802" w:type="dxa"/>
            <w:noWrap w:val="0"/>
            <w:vAlign w:val="center"/>
          </w:tcPr>
          <w:p>
            <w:pPr>
              <w:pStyle w:val="18"/>
            </w:pPr>
            <w:r>
              <w:t>组织宣传活动次数</w:t>
            </w:r>
          </w:p>
        </w:tc>
        <w:tc>
          <w:tcPr>
            <w:tcW w:w="1276" w:type="dxa"/>
            <w:noWrap w:val="0"/>
            <w:vAlign w:val="center"/>
          </w:tcPr>
          <w:p>
            <w:pPr>
              <w:pStyle w:val="18"/>
            </w:pPr>
            <w:r>
              <w:t>≥5次</w:t>
            </w:r>
          </w:p>
        </w:tc>
        <w:tc>
          <w:tcPr>
            <w:tcW w:w="3241"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0"/>
            <w:vAlign w:val="center"/>
          </w:tcPr>
          <w:p/>
        </w:tc>
        <w:tc>
          <w:tcPr>
            <w:tcW w:w="2113" w:type="dxa"/>
            <w:noWrap w:val="0"/>
            <w:vAlign w:val="center"/>
          </w:tcPr>
          <w:p>
            <w:pPr>
              <w:pStyle w:val="18"/>
            </w:pPr>
            <w:r>
              <w:t>质量指标</w:t>
            </w:r>
          </w:p>
        </w:tc>
        <w:tc>
          <w:tcPr>
            <w:tcW w:w="2291" w:type="dxa"/>
            <w:noWrap w:val="0"/>
            <w:vAlign w:val="center"/>
          </w:tcPr>
          <w:p>
            <w:pPr>
              <w:pStyle w:val="18"/>
            </w:pPr>
            <w:r>
              <w:t>抽查覆盖率</w:t>
            </w:r>
          </w:p>
        </w:tc>
        <w:tc>
          <w:tcPr>
            <w:tcW w:w="3802" w:type="dxa"/>
            <w:noWrap w:val="0"/>
            <w:vAlign w:val="center"/>
          </w:tcPr>
          <w:p>
            <w:pPr>
              <w:pStyle w:val="18"/>
            </w:pPr>
            <w:r>
              <w:t>抽查对象的数量占全部对象的比率</w:t>
            </w:r>
          </w:p>
        </w:tc>
        <w:tc>
          <w:tcPr>
            <w:tcW w:w="1276" w:type="dxa"/>
            <w:noWrap w:val="0"/>
            <w:vAlign w:val="center"/>
          </w:tcPr>
          <w:p>
            <w:pPr>
              <w:pStyle w:val="18"/>
            </w:pPr>
            <w:r>
              <w:t>≥90百分比</w:t>
            </w:r>
          </w:p>
        </w:tc>
        <w:tc>
          <w:tcPr>
            <w:tcW w:w="3241"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0"/>
            <w:vAlign w:val="center"/>
          </w:tcPr>
          <w:p/>
        </w:tc>
        <w:tc>
          <w:tcPr>
            <w:tcW w:w="2113" w:type="dxa"/>
            <w:noWrap w:val="0"/>
            <w:vAlign w:val="center"/>
          </w:tcPr>
          <w:p>
            <w:pPr>
              <w:pStyle w:val="18"/>
            </w:pPr>
            <w:r>
              <w:t>时效指标</w:t>
            </w:r>
          </w:p>
        </w:tc>
        <w:tc>
          <w:tcPr>
            <w:tcW w:w="2291" w:type="dxa"/>
            <w:noWrap w:val="0"/>
            <w:vAlign w:val="center"/>
          </w:tcPr>
          <w:p>
            <w:pPr>
              <w:pStyle w:val="18"/>
            </w:pPr>
            <w:r>
              <w:t>年度项目完成情况</w:t>
            </w:r>
          </w:p>
        </w:tc>
        <w:tc>
          <w:tcPr>
            <w:tcW w:w="3802" w:type="dxa"/>
            <w:noWrap w:val="0"/>
            <w:vAlign w:val="center"/>
          </w:tcPr>
          <w:p>
            <w:pPr>
              <w:pStyle w:val="18"/>
            </w:pPr>
            <w:r>
              <w:t>年度项目按规定时间点完成</w:t>
            </w:r>
          </w:p>
        </w:tc>
        <w:tc>
          <w:tcPr>
            <w:tcW w:w="1276" w:type="dxa"/>
            <w:noWrap w:val="0"/>
            <w:vAlign w:val="center"/>
          </w:tcPr>
          <w:p>
            <w:pPr>
              <w:pStyle w:val="18"/>
            </w:pPr>
            <w:r>
              <w:t>≥90百分比</w:t>
            </w:r>
          </w:p>
        </w:tc>
        <w:tc>
          <w:tcPr>
            <w:tcW w:w="3241"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0"/>
            <w:vAlign w:val="center"/>
          </w:tcPr>
          <w:p/>
        </w:tc>
        <w:tc>
          <w:tcPr>
            <w:tcW w:w="2113" w:type="dxa"/>
            <w:noWrap w:val="0"/>
            <w:vAlign w:val="center"/>
          </w:tcPr>
          <w:p>
            <w:pPr>
              <w:pStyle w:val="18"/>
            </w:pPr>
            <w:r>
              <w:t>成本指标</w:t>
            </w:r>
          </w:p>
        </w:tc>
        <w:tc>
          <w:tcPr>
            <w:tcW w:w="2291" w:type="dxa"/>
            <w:noWrap w:val="0"/>
            <w:vAlign w:val="center"/>
          </w:tcPr>
          <w:p>
            <w:pPr>
              <w:pStyle w:val="18"/>
            </w:pPr>
            <w:r>
              <w:t>经费控制数</w:t>
            </w:r>
          </w:p>
        </w:tc>
        <w:tc>
          <w:tcPr>
            <w:tcW w:w="3802" w:type="dxa"/>
            <w:noWrap w:val="0"/>
            <w:vAlign w:val="center"/>
          </w:tcPr>
          <w:p>
            <w:pPr>
              <w:pStyle w:val="18"/>
            </w:pPr>
            <w:r>
              <w:t>经费控制数</w:t>
            </w:r>
          </w:p>
        </w:tc>
        <w:tc>
          <w:tcPr>
            <w:tcW w:w="1276" w:type="dxa"/>
            <w:noWrap w:val="0"/>
            <w:vAlign w:val="center"/>
          </w:tcPr>
          <w:p>
            <w:pPr>
              <w:pStyle w:val="18"/>
            </w:pPr>
            <w:r>
              <w:t>≤0.72万元</w:t>
            </w:r>
          </w:p>
        </w:tc>
        <w:tc>
          <w:tcPr>
            <w:tcW w:w="3241"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noWrap w:val="0"/>
            <w:vAlign w:val="center"/>
          </w:tcPr>
          <w:p>
            <w:pPr>
              <w:pStyle w:val="19"/>
            </w:pPr>
            <w:r>
              <w:t>效益指标</w:t>
            </w:r>
          </w:p>
        </w:tc>
        <w:tc>
          <w:tcPr>
            <w:tcW w:w="2113" w:type="dxa"/>
            <w:noWrap w:val="0"/>
            <w:vAlign w:val="center"/>
          </w:tcPr>
          <w:p>
            <w:pPr>
              <w:pStyle w:val="18"/>
            </w:pPr>
            <w:r>
              <w:t>社会效益指标</w:t>
            </w:r>
          </w:p>
        </w:tc>
        <w:tc>
          <w:tcPr>
            <w:tcW w:w="2291" w:type="dxa"/>
            <w:noWrap w:val="0"/>
            <w:vAlign w:val="center"/>
          </w:tcPr>
          <w:p>
            <w:pPr>
              <w:pStyle w:val="18"/>
            </w:pPr>
            <w:r>
              <w:t>对食品安全的监管作用</w:t>
            </w:r>
          </w:p>
        </w:tc>
        <w:tc>
          <w:tcPr>
            <w:tcW w:w="3802" w:type="dxa"/>
            <w:noWrap w:val="0"/>
            <w:vAlign w:val="center"/>
          </w:tcPr>
          <w:p>
            <w:pPr>
              <w:pStyle w:val="18"/>
            </w:pPr>
            <w:r>
              <w:t>通过对食品安全的监管，确保本地区食品安全</w:t>
            </w:r>
          </w:p>
        </w:tc>
        <w:tc>
          <w:tcPr>
            <w:tcW w:w="1276" w:type="dxa"/>
            <w:noWrap w:val="0"/>
            <w:vAlign w:val="center"/>
          </w:tcPr>
          <w:p>
            <w:pPr>
              <w:pStyle w:val="18"/>
            </w:pPr>
            <w:r>
              <w:t>≥90百分比</w:t>
            </w:r>
          </w:p>
        </w:tc>
        <w:tc>
          <w:tcPr>
            <w:tcW w:w="3241"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noWrap w:val="0"/>
            <w:vAlign w:val="center"/>
          </w:tcPr>
          <w:p>
            <w:pPr>
              <w:pStyle w:val="19"/>
            </w:pPr>
            <w:r>
              <w:t>满意度指标</w:t>
            </w:r>
          </w:p>
        </w:tc>
        <w:tc>
          <w:tcPr>
            <w:tcW w:w="2113" w:type="dxa"/>
            <w:noWrap w:val="0"/>
            <w:vAlign w:val="center"/>
          </w:tcPr>
          <w:p>
            <w:pPr>
              <w:pStyle w:val="18"/>
            </w:pPr>
            <w:r>
              <w:t>服务对象满意度指标</w:t>
            </w:r>
          </w:p>
        </w:tc>
        <w:tc>
          <w:tcPr>
            <w:tcW w:w="2291" w:type="dxa"/>
            <w:noWrap w:val="0"/>
            <w:vAlign w:val="center"/>
          </w:tcPr>
          <w:p>
            <w:pPr>
              <w:pStyle w:val="18"/>
            </w:pPr>
            <w:r>
              <w:t>服务对象满意度</w:t>
            </w:r>
          </w:p>
        </w:tc>
        <w:tc>
          <w:tcPr>
            <w:tcW w:w="3802" w:type="dxa"/>
            <w:noWrap w:val="0"/>
            <w:vAlign w:val="center"/>
          </w:tcPr>
          <w:p>
            <w:pPr>
              <w:pStyle w:val="18"/>
            </w:pPr>
            <w:r>
              <w:t>接受食品安全监管的人群对食品安全监管工作的满意程度</w:t>
            </w:r>
          </w:p>
        </w:tc>
        <w:tc>
          <w:tcPr>
            <w:tcW w:w="1276" w:type="dxa"/>
            <w:noWrap w:val="0"/>
            <w:vAlign w:val="center"/>
          </w:tcPr>
          <w:p>
            <w:pPr>
              <w:pStyle w:val="18"/>
            </w:pPr>
            <w:r>
              <w:t>≥90百分比</w:t>
            </w:r>
          </w:p>
        </w:tc>
        <w:tc>
          <w:tcPr>
            <w:tcW w:w="3241" w:type="dxa"/>
            <w:noWrap w:val="0"/>
            <w:vAlign w:val="center"/>
          </w:tcPr>
          <w:p>
            <w:pPr>
              <w:pStyle w:val="18"/>
            </w:pPr>
            <w:r>
              <w:t>依据工作方案</w:t>
            </w:r>
          </w:p>
        </w:tc>
      </w:tr>
    </w:tbl>
    <w:p/>
    <w:p/>
    <w:p>
      <w:pPr>
        <w:ind w:firstLine="281" w:firstLineChars="100"/>
        <w:rPr>
          <w:rFonts w:hint="eastAsia"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团委经费（年初）绩效目标表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rPr>
                <w:rFonts w:hint="eastAsia"/>
              </w:rPr>
              <w:t>1.科学地继承和发扬共青团的优良传统，创新团的工作，找准新时代的中心定位，把各项改革措施不折不扣落实到位。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pPr w:leftFromText="180" w:rightFromText="180" w:vertAnchor="text" w:horzAnchor="page" w:tblpX="1474" w:tblpY="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0"/>
        <w:gridCol w:w="2319"/>
        <w:gridCol w:w="5100"/>
        <w:gridCol w:w="1936"/>
        <w:gridCol w:w="34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390" w:type="dxa"/>
            <w:noWrap w:val="0"/>
            <w:vAlign w:val="center"/>
          </w:tcPr>
          <w:p>
            <w:pPr>
              <w:pStyle w:val="16"/>
            </w:pPr>
            <w:r>
              <w:t>一级指标</w:t>
            </w:r>
          </w:p>
        </w:tc>
        <w:tc>
          <w:tcPr>
            <w:tcW w:w="2319" w:type="dxa"/>
            <w:noWrap w:val="0"/>
            <w:vAlign w:val="center"/>
          </w:tcPr>
          <w:p>
            <w:pPr>
              <w:pStyle w:val="16"/>
            </w:pPr>
            <w:r>
              <w:t>三级指标</w:t>
            </w:r>
          </w:p>
        </w:tc>
        <w:tc>
          <w:tcPr>
            <w:tcW w:w="5100" w:type="dxa"/>
            <w:noWrap w:val="0"/>
            <w:vAlign w:val="center"/>
          </w:tcPr>
          <w:p>
            <w:pPr>
              <w:pStyle w:val="16"/>
            </w:pPr>
            <w:r>
              <w:t>绩效指标描述</w:t>
            </w:r>
          </w:p>
        </w:tc>
        <w:tc>
          <w:tcPr>
            <w:tcW w:w="1936" w:type="dxa"/>
            <w:noWrap w:val="0"/>
            <w:vAlign w:val="center"/>
          </w:tcPr>
          <w:p>
            <w:pPr>
              <w:pStyle w:val="16"/>
            </w:pPr>
            <w:r>
              <w:t>指标值</w:t>
            </w:r>
          </w:p>
        </w:tc>
        <w:tc>
          <w:tcPr>
            <w:tcW w:w="342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restart"/>
            <w:noWrap w:val="0"/>
            <w:vAlign w:val="center"/>
          </w:tcPr>
          <w:p>
            <w:pPr>
              <w:pStyle w:val="19"/>
            </w:pPr>
            <w:r>
              <w:t>产出指标</w:t>
            </w:r>
          </w:p>
        </w:tc>
        <w:tc>
          <w:tcPr>
            <w:tcW w:w="2319" w:type="dxa"/>
            <w:noWrap w:val="0"/>
            <w:vAlign w:val="center"/>
          </w:tcPr>
          <w:p>
            <w:pPr>
              <w:pStyle w:val="18"/>
            </w:pPr>
            <w:r>
              <w:t>开办宣传专栏数</w:t>
            </w:r>
          </w:p>
        </w:tc>
        <w:tc>
          <w:tcPr>
            <w:tcW w:w="5100" w:type="dxa"/>
            <w:noWrap w:val="0"/>
            <w:vAlign w:val="center"/>
          </w:tcPr>
          <w:p>
            <w:pPr>
              <w:pStyle w:val="18"/>
            </w:pPr>
            <w:r>
              <w:t>在新闻媒体开办宣传专栏的数量</w:t>
            </w:r>
          </w:p>
        </w:tc>
        <w:tc>
          <w:tcPr>
            <w:tcW w:w="1936" w:type="dxa"/>
            <w:noWrap w:val="0"/>
            <w:vAlign w:val="center"/>
          </w:tcPr>
          <w:p>
            <w:pPr>
              <w:pStyle w:val="18"/>
            </w:pPr>
            <w:r>
              <w:t>≥5个</w:t>
            </w:r>
          </w:p>
        </w:tc>
        <w:tc>
          <w:tcPr>
            <w:tcW w:w="342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0"/>
            <w:vAlign w:val="center"/>
          </w:tcPr>
          <w:p/>
        </w:tc>
        <w:tc>
          <w:tcPr>
            <w:tcW w:w="2319" w:type="dxa"/>
            <w:noWrap w:val="0"/>
            <w:vAlign w:val="center"/>
          </w:tcPr>
          <w:p>
            <w:pPr>
              <w:pStyle w:val="18"/>
            </w:pPr>
            <w:r>
              <w:t>制作宣传品</w:t>
            </w:r>
          </w:p>
        </w:tc>
        <w:tc>
          <w:tcPr>
            <w:tcW w:w="5100" w:type="dxa"/>
            <w:noWrap w:val="0"/>
            <w:vAlign w:val="center"/>
          </w:tcPr>
          <w:p>
            <w:pPr>
              <w:pStyle w:val="18"/>
            </w:pPr>
            <w:r>
              <w:t>制作宣传品的数量</w:t>
            </w:r>
          </w:p>
        </w:tc>
        <w:tc>
          <w:tcPr>
            <w:tcW w:w="1936" w:type="dxa"/>
            <w:noWrap w:val="0"/>
            <w:vAlign w:val="center"/>
          </w:tcPr>
          <w:p>
            <w:pPr>
              <w:pStyle w:val="18"/>
            </w:pPr>
            <w:r>
              <w:t>≥1000份</w:t>
            </w:r>
          </w:p>
        </w:tc>
        <w:tc>
          <w:tcPr>
            <w:tcW w:w="342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0"/>
            <w:vAlign w:val="center"/>
          </w:tcPr>
          <w:p/>
        </w:tc>
        <w:tc>
          <w:tcPr>
            <w:tcW w:w="2319" w:type="dxa"/>
            <w:noWrap w:val="0"/>
            <w:vAlign w:val="center"/>
          </w:tcPr>
          <w:p>
            <w:pPr>
              <w:pStyle w:val="18"/>
            </w:pPr>
            <w:r>
              <w:t>年度项目完成情况</w:t>
            </w:r>
          </w:p>
        </w:tc>
        <w:tc>
          <w:tcPr>
            <w:tcW w:w="5100" w:type="dxa"/>
            <w:noWrap w:val="0"/>
            <w:vAlign w:val="center"/>
          </w:tcPr>
          <w:p>
            <w:pPr>
              <w:pStyle w:val="18"/>
            </w:pPr>
            <w:r>
              <w:t>年度项目按规定时间点完成</w:t>
            </w:r>
          </w:p>
        </w:tc>
        <w:tc>
          <w:tcPr>
            <w:tcW w:w="1936" w:type="dxa"/>
            <w:noWrap w:val="0"/>
            <w:vAlign w:val="center"/>
          </w:tcPr>
          <w:p>
            <w:pPr>
              <w:pStyle w:val="18"/>
            </w:pPr>
            <w:r>
              <w:t>≥90百分比</w:t>
            </w:r>
          </w:p>
        </w:tc>
        <w:tc>
          <w:tcPr>
            <w:tcW w:w="342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0"/>
            <w:vAlign w:val="center"/>
          </w:tcPr>
          <w:p/>
        </w:tc>
        <w:tc>
          <w:tcPr>
            <w:tcW w:w="2319" w:type="dxa"/>
            <w:noWrap w:val="0"/>
            <w:vAlign w:val="center"/>
          </w:tcPr>
          <w:p>
            <w:pPr>
              <w:pStyle w:val="18"/>
            </w:pPr>
            <w:r>
              <w:t>经费控制数</w:t>
            </w:r>
          </w:p>
        </w:tc>
        <w:tc>
          <w:tcPr>
            <w:tcW w:w="5100" w:type="dxa"/>
            <w:noWrap w:val="0"/>
            <w:vAlign w:val="center"/>
          </w:tcPr>
          <w:p>
            <w:pPr>
              <w:pStyle w:val="18"/>
            </w:pPr>
            <w:r>
              <w:t>经费控制数</w:t>
            </w:r>
          </w:p>
        </w:tc>
        <w:tc>
          <w:tcPr>
            <w:tcW w:w="1936" w:type="dxa"/>
            <w:noWrap w:val="0"/>
            <w:vAlign w:val="center"/>
          </w:tcPr>
          <w:p>
            <w:pPr>
              <w:pStyle w:val="18"/>
            </w:pPr>
            <w:r>
              <w:t>≤2万元</w:t>
            </w:r>
          </w:p>
        </w:tc>
        <w:tc>
          <w:tcPr>
            <w:tcW w:w="342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noWrap w:val="0"/>
            <w:vAlign w:val="center"/>
          </w:tcPr>
          <w:p>
            <w:pPr>
              <w:pStyle w:val="19"/>
            </w:pPr>
            <w:r>
              <w:t>效益指标</w:t>
            </w:r>
          </w:p>
        </w:tc>
        <w:tc>
          <w:tcPr>
            <w:tcW w:w="2319" w:type="dxa"/>
            <w:noWrap w:val="0"/>
            <w:vAlign w:val="center"/>
          </w:tcPr>
          <w:p>
            <w:pPr>
              <w:pStyle w:val="18"/>
            </w:pPr>
            <w:r>
              <w:t>参与政府决策活动次数</w:t>
            </w:r>
          </w:p>
        </w:tc>
        <w:tc>
          <w:tcPr>
            <w:tcW w:w="5100" w:type="dxa"/>
            <w:noWrap w:val="0"/>
            <w:vAlign w:val="center"/>
          </w:tcPr>
          <w:p>
            <w:pPr>
              <w:pStyle w:val="18"/>
            </w:pPr>
            <w:r>
              <w:t>参与决策咨询活动次数</w:t>
            </w:r>
          </w:p>
        </w:tc>
        <w:tc>
          <w:tcPr>
            <w:tcW w:w="1936" w:type="dxa"/>
            <w:noWrap w:val="0"/>
            <w:vAlign w:val="center"/>
          </w:tcPr>
          <w:p>
            <w:pPr>
              <w:pStyle w:val="18"/>
            </w:pPr>
            <w:r>
              <w:t>≥5次</w:t>
            </w:r>
          </w:p>
        </w:tc>
        <w:tc>
          <w:tcPr>
            <w:tcW w:w="342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noWrap w:val="0"/>
            <w:vAlign w:val="center"/>
          </w:tcPr>
          <w:p>
            <w:pPr>
              <w:pStyle w:val="19"/>
            </w:pPr>
            <w:r>
              <w:t>满意度指标</w:t>
            </w:r>
          </w:p>
        </w:tc>
        <w:tc>
          <w:tcPr>
            <w:tcW w:w="2319" w:type="dxa"/>
            <w:noWrap w:val="0"/>
            <w:vAlign w:val="center"/>
          </w:tcPr>
          <w:p>
            <w:pPr>
              <w:pStyle w:val="18"/>
            </w:pPr>
            <w:r>
              <w:t>服务对象满意度</w:t>
            </w:r>
          </w:p>
        </w:tc>
        <w:tc>
          <w:tcPr>
            <w:tcW w:w="5100" w:type="dxa"/>
            <w:noWrap w:val="0"/>
            <w:vAlign w:val="center"/>
          </w:tcPr>
          <w:p>
            <w:pPr>
              <w:pStyle w:val="18"/>
            </w:pPr>
            <w:r>
              <w:t>服务对象满意度</w:t>
            </w:r>
          </w:p>
        </w:tc>
        <w:tc>
          <w:tcPr>
            <w:tcW w:w="1936" w:type="dxa"/>
            <w:noWrap w:val="0"/>
            <w:vAlign w:val="center"/>
          </w:tcPr>
          <w:p>
            <w:pPr>
              <w:pStyle w:val="18"/>
            </w:pPr>
            <w:r>
              <w:t>≥90百分比</w:t>
            </w:r>
          </w:p>
        </w:tc>
        <w:tc>
          <w:tcPr>
            <w:tcW w:w="3423" w:type="dxa"/>
            <w:noWrap w:val="0"/>
            <w:vAlign w:val="center"/>
          </w:tcPr>
          <w:p>
            <w:pPr>
              <w:pStyle w:val="18"/>
            </w:pPr>
            <w:r>
              <w:t>依据工作方案</w:t>
            </w:r>
          </w:p>
        </w:tc>
      </w:tr>
    </w:tbl>
    <w:p>
      <w:pPr>
        <w:rPr>
          <w:rFonts w:hint="default" w:eastAsia="宋体"/>
          <w:lang w:val="en-US" w:eastAsia="zh-CN"/>
        </w:rPr>
      </w:pPr>
      <w:r>
        <w:rPr>
          <w:rFonts w:hint="eastAsia" w:eastAsia="宋体"/>
          <w:lang w:val="en-US" w:eastAsia="zh-CN"/>
        </w:rPr>
        <w:t xml:space="preserve">     </w:t>
      </w:r>
    </w:p>
    <w:p>
      <w:pPr>
        <w:rPr>
          <w:rFonts w:hint="default" w:eastAsia="宋体"/>
          <w:lang w:val="en-US" w:eastAsia="zh-CN"/>
        </w:rPr>
      </w:pPr>
    </w:p>
    <w:p/>
    <w:p>
      <w:pPr>
        <w:ind w:firstLine="281" w:firstLineChars="1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维稳经费（年初）绩效目标表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rPr>
                <w:rFonts w:hint="eastAsia"/>
              </w:rPr>
              <w:t>1.做好信访稳控工作，减少越级访、群访等恶性事件，有效的遏制非法上访；处理人民群众来信、来访，接待和处理人民群众反映的情况和问题。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8"/>
        <w:gridCol w:w="1104"/>
        <w:gridCol w:w="3109"/>
        <w:gridCol w:w="3764"/>
        <w:gridCol w:w="1691"/>
        <w:gridCol w:w="30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8" w:type="dxa"/>
            <w:noWrap w:val="0"/>
            <w:vAlign w:val="center"/>
          </w:tcPr>
          <w:p>
            <w:pPr>
              <w:pStyle w:val="16"/>
            </w:pPr>
            <w:r>
              <w:t>一级指标</w:t>
            </w:r>
          </w:p>
        </w:tc>
        <w:tc>
          <w:tcPr>
            <w:tcW w:w="1104" w:type="dxa"/>
            <w:noWrap w:val="0"/>
            <w:vAlign w:val="center"/>
          </w:tcPr>
          <w:p>
            <w:pPr>
              <w:pStyle w:val="16"/>
            </w:pPr>
            <w:r>
              <w:t>二级指标</w:t>
            </w:r>
          </w:p>
        </w:tc>
        <w:tc>
          <w:tcPr>
            <w:tcW w:w="3109" w:type="dxa"/>
            <w:noWrap w:val="0"/>
            <w:vAlign w:val="center"/>
          </w:tcPr>
          <w:p>
            <w:pPr>
              <w:pStyle w:val="16"/>
            </w:pPr>
            <w:r>
              <w:t>三级指标</w:t>
            </w:r>
          </w:p>
        </w:tc>
        <w:tc>
          <w:tcPr>
            <w:tcW w:w="3764" w:type="dxa"/>
            <w:noWrap w:val="0"/>
            <w:vAlign w:val="center"/>
          </w:tcPr>
          <w:p>
            <w:pPr>
              <w:pStyle w:val="16"/>
            </w:pPr>
            <w:r>
              <w:t>绩效指标描述</w:t>
            </w:r>
          </w:p>
        </w:tc>
        <w:tc>
          <w:tcPr>
            <w:tcW w:w="1691" w:type="dxa"/>
            <w:noWrap w:val="0"/>
            <w:vAlign w:val="center"/>
          </w:tcPr>
          <w:p>
            <w:pPr>
              <w:pStyle w:val="16"/>
            </w:pPr>
            <w:r>
              <w:t>指标值</w:t>
            </w:r>
          </w:p>
        </w:tc>
        <w:tc>
          <w:tcPr>
            <w:tcW w:w="305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restart"/>
            <w:noWrap w:val="0"/>
            <w:vAlign w:val="center"/>
          </w:tcPr>
          <w:p>
            <w:pPr>
              <w:pStyle w:val="19"/>
            </w:pPr>
            <w:r>
              <w:t>产出指标</w:t>
            </w:r>
          </w:p>
        </w:tc>
        <w:tc>
          <w:tcPr>
            <w:tcW w:w="1104" w:type="dxa"/>
            <w:noWrap w:val="0"/>
            <w:vAlign w:val="center"/>
          </w:tcPr>
          <w:p>
            <w:pPr>
              <w:pStyle w:val="18"/>
            </w:pPr>
            <w:r>
              <w:t>数量指标</w:t>
            </w:r>
          </w:p>
        </w:tc>
        <w:tc>
          <w:tcPr>
            <w:tcW w:w="3109" w:type="dxa"/>
            <w:noWrap w:val="0"/>
            <w:vAlign w:val="center"/>
          </w:tcPr>
          <w:p>
            <w:pPr>
              <w:pStyle w:val="18"/>
            </w:pPr>
            <w:r>
              <w:t>重要时期专项护路任务次数（次）</w:t>
            </w:r>
          </w:p>
        </w:tc>
        <w:tc>
          <w:tcPr>
            <w:tcW w:w="3764" w:type="dxa"/>
            <w:noWrap w:val="0"/>
            <w:vAlign w:val="center"/>
          </w:tcPr>
          <w:p>
            <w:pPr>
              <w:pStyle w:val="18"/>
            </w:pPr>
            <w:r>
              <w:t>重要时期专项护路任务次数（次）</w:t>
            </w:r>
          </w:p>
        </w:tc>
        <w:tc>
          <w:tcPr>
            <w:tcW w:w="1691" w:type="dxa"/>
            <w:noWrap w:val="0"/>
            <w:vAlign w:val="center"/>
          </w:tcPr>
          <w:p>
            <w:pPr>
              <w:pStyle w:val="18"/>
            </w:pPr>
            <w:r>
              <w:t>≥2次</w:t>
            </w:r>
          </w:p>
        </w:tc>
        <w:tc>
          <w:tcPr>
            <w:tcW w:w="3053" w:type="dxa"/>
            <w:noWrap w:val="0"/>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0"/>
            <w:vAlign w:val="center"/>
          </w:tcPr>
          <w:p/>
        </w:tc>
        <w:tc>
          <w:tcPr>
            <w:tcW w:w="1104" w:type="dxa"/>
            <w:noWrap w:val="0"/>
            <w:vAlign w:val="center"/>
          </w:tcPr>
          <w:p>
            <w:pPr>
              <w:pStyle w:val="18"/>
            </w:pPr>
            <w:r>
              <w:t>质量指标</w:t>
            </w:r>
          </w:p>
        </w:tc>
        <w:tc>
          <w:tcPr>
            <w:tcW w:w="3109" w:type="dxa"/>
            <w:noWrap w:val="0"/>
            <w:vAlign w:val="center"/>
          </w:tcPr>
          <w:p>
            <w:pPr>
              <w:pStyle w:val="18"/>
            </w:pPr>
            <w:r>
              <w:t>矛盾纠纷调处率(%)</w:t>
            </w:r>
          </w:p>
        </w:tc>
        <w:tc>
          <w:tcPr>
            <w:tcW w:w="3764" w:type="dxa"/>
            <w:noWrap w:val="0"/>
            <w:vAlign w:val="center"/>
          </w:tcPr>
          <w:p>
            <w:pPr>
              <w:pStyle w:val="18"/>
            </w:pPr>
            <w:r>
              <w:t>矛盾纠纷调处率(%)</w:t>
            </w:r>
          </w:p>
        </w:tc>
        <w:tc>
          <w:tcPr>
            <w:tcW w:w="1691" w:type="dxa"/>
            <w:noWrap w:val="0"/>
            <w:vAlign w:val="center"/>
          </w:tcPr>
          <w:p>
            <w:pPr>
              <w:pStyle w:val="18"/>
            </w:pPr>
            <w:r>
              <w:t>≥90百分比</w:t>
            </w:r>
          </w:p>
        </w:tc>
        <w:tc>
          <w:tcPr>
            <w:tcW w:w="3053" w:type="dxa"/>
            <w:noWrap w:val="0"/>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0"/>
            <w:vAlign w:val="center"/>
          </w:tcPr>
          <w:p/>
        </w:tc>
        <w:tc>
          <w:tcPr>
            <w:tcW w:w="1104" w:type="dxa"/>
            <w:noWrap w:val="0"/>
            <w:vAlign w:val="center"/>
          </w:tcPr>
          <w:p>
            <w:pPr>
              <w:pStyle w:val="18"/>
            </w:pPr>
            <w:r>
              <w:t>成本指标</w:t>
            </w:r>
          </w:p>
        </w:tc>
        <w:tc>
          <w:tcPr>
            <w:tcW w:w="3109" w:type="dxa"/>
            <w:noWrap w:val="0"/>
            <w:vAlign w:val="center"/>
          </w:tcPr>
          <w:p>
            <w:pPr>
              <w:pStyle w:val="18"/>
            </w:pPr>
            <w:r>
              <w:t>经费控制数</w:t>
            </w:r>
          </w:p>
        </w:tc>
        <w:tc>
          <w:tcPr>
            <w:tcW w:w="3764" w:type="dxa"/>
            <w:noWrap w:val="0"/>
            <w:vAlign w:val="center"/>
          </w:tcPr>
          <w:p>
            <w:pPr>
              <w:pStyle w:val="18"/>
            </w:pPr>
            <w:r>
              <w:t>经费控制数</w:t>
            </w:r>
          </w:p>
        </w:tc>
        <w:tc>
          <w:tcPr>
            <w:tcW w:w="1691" w:type="dxa"/>
            <w:noWrap w:val="0"/>
            <w:vAlign w:val="center"/>
          </w:tcPr>
          <w:p>
            <w:pPr>
              <w:pStyle w:val="18"/>
            </w:pPr>
            <w:r>
              <w:t>≤8万元</w:t>
            </w:r>
          </w:p>
        </w:tc>
        <w:tc>
          <w:tcPr>
            <w:tcW w:w="3053" w:type="dxa"/>
            <w:noWrap w:val="0"/>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0"/>
            <w:vAlign w:val="center"/>
          </w:tcPr>
          <w:p/>
        </w:tc>
        <w:tc>
          <w:tcPr>
            <w:tcW w:w="1104" w:type="dxa"/>
            <w:noWrap w:val="0"/>
            <w:vAlign w:val="center"/>
          </w:tcPr>
          <w:p>
            <w:pPr>
              <w:pStyle w:val="18"/>
            </w:pPr>
            <w:r>
              <w:t>时效指标</w:t>
            </w:r>
          </w:p>
        </w:tc>
        <w:tc>
          <w:tcPr>
            <w:tcW w:w="3109" w:type="dxa"/>
            <w:noWrap w:val="0"/>
            <w:vAlign w:val="center"/>
          </w:tcPr>
          <w:p>
            <w:pPr>
              <w:pStyle w:val="18"/>
            </w:pPr>
            <w:r>
              <w:t>各项任务完成及时率（%）</w:t>
            </w:r>
          </w:p>
        </w:tc>
        <w:tc>
          <w:tcPr>
            <w:tcW w:w="3764" w:type="dxa"/>
            <w:noWrap w:val="0"/>
            <w:vAlign w:val="center"/>
          </w:tcPr>
          <w:p>
            <w:pPr>
              <w:pStyle w:val="18"/>
            </w:pPr>
            <w:r>
              <w:t>各项任务完成及时率（%）</w:t>
            </w:r>
          </w:p>
        </w:tc>
        <w:tc>
          <w:tcPr>
            <w:tcW w:w="1691" w:type="dxa"/>
            <w:noWrap w:val="0"/>
            <w:vAlign w:val="center"/>
          </w:tcPr>
          <w:p>
            <w:pPr>
              <w:pStyle w:val="18"/>
            </w:pPr>
            <w:r>
              <w:t>≥90百分比</w:t>
            </w:r>
          </w:p>
        </w:tc>
        <w:tc>
          <w:tcPr>
            <w:tcW w:w="3053" w:type="dxa"/>
            <w:noWrap w:val="0"/>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noWrap w:val="0"/>
            <w:vAlign w:val="center"/>
          </w:tcPr>
          <w:p>
            <w:pPr>
              <w:pStyle w:val="19"/>
            </w:pPr>
            <w:r>
              <w:t>效益指标</w:t>
            </w:r>
          </w:p>
        </w:tc>
        <w:tc>
          <w:tcPr>
            <w:tcW w:w="1104" w:type="dxa"/>
            <w:noWrap w:val="0"/>
            <w:vAlign w:val="center"/>
          </w:tcPr>
          <w:p>
            <w:pPr>
              <w:pStyle w:val="18"/>
            </w:pPr>
            <w:r>
              <w:t>社会效益指标</w:t>
            </w:r>
          </w:p>
        </w:tc>
        <w:tc>
          <w:tcPr>
            <w:tcW w:w="3109" w:type="dxa"/>
            <w:noWrap w:val="0"/>
            <w:vAlign w:val="center"/>
          </w:tcPr>
          <w:p>
            <w:pPr>
              <w:pStyle w:val="18"/>
            </w:pPr>
            <w:r>
              <w:t>突发事件发生率(%)</w:t>
            </w:r>
          </w:p>
        </w:tc>
        <w:tc>
          <w:tcPr>
            <w:tcW w:w="3764" w:type="dxa"/>
            <w:noWrap w:val="0"/>
            <w:vAlign w:val="center"/>
          </w:tcPr>
          <w:p>
            <w:pPr>
              <w:pStyle w:val="18"/>
            </w:pPr>
            <w:r>
              <w:t>突发事件发生率(%)</w:t>
            </w:r>
          </w:p>
        </w:tc>
        <w:tc>
          <w:tcPr>
            <w:tcW w:w="1691" w:type="dxa"/>
            <w:noWrap w:val="0"/>
            <w:vAlign w:val="center"/>
          </w:tcPr>
          <w:p>
            <w:pPr>
              <w:pStyle w:val="18"/>
            </w:pPr>
            <w:r>
              <w:t>≤5百分比</w:t>
            </w:r>
          </w:p>
        </w:tc>
        <w:tc>
          <w:tcPr>
            <w:tcW w:w="3053" w:type="dxa"/>
            <w:noWrap w:val="0"/>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noWrap w:val="0"/>
            <w:vAlign w:val="center"/>
          </w:tcPr>
          <w:p>
            <w:pPr>
              <w:pStyle w:val="19"/>
            </w:pPr>
            <w:r>
              <w:t>满意度指标</w:t>
            </w:r>
          </w:p>
        </w:tc>
        <w:tc>
          <w:tcPr>
            <w:tcW w:w="1104" w:type="dxa"/>
            <w:noWrap w:val="0"/>
            <w:vAlign w:val="center"/>
          </w:tcPr>
          <w:p>
            <w:pPr>
              <w:pStyle w:val="18"/>
            </w:pPr>
            <w:r>
              <w:t>服务对象满意度指标</w:t>
            </w:r>
          </w:p>
        </w:tc>
        <w:tc>
          <w:tcPr>
            <w:tcW w:w="3109" w:type="dxa"/>
            <w:noWrap w:val="0"/>
            <w:vAlign w:val="center"/>
          </w:tcPr>
          <w:p>
            <w:pPr>
              <w:pStyle w:val="18"/>
            </w:pPr>
            <w:r>
              <w:t>信访群众满意度</w:t>
            </w:r>
          </w:p>
        </w:tc>
        <w:tc>
          <w:tcPr>
            <w:tcW w:w="3764" w:type="dxa"/>
            <w:noWrap w:val="0"/>
            <w:vAlign w:val="center"/>
          </w:tcPr>
          <w:p>
            <w:pPr>
              <w:pStyle w:val="18"/>
            </w:pPr>
            <w:r>
              <w:t>信访群众满意度</w:t>
            </w:r>
          </w:p>
        </w:tc>
        <w:tc>
          <w:tcPr>
            <w:tcW w:w="1691" w:type="dxa"/>
            <w:noWrap w:val="0"/>
            <w:vAlign w:val="center"/>
          </w:tcPr>
          <w:p>
            <w:pPr>
              <w:pStyle w:val="18"/>
            </w:pPr>
            <w:r>
              <w:t>≥90百分比</w:t>
            </w:r>
          </w:p>
        </w:tc>
        <w:tc>
          <w:tcPr>
            <w:tcW w:w="3053" w:type="dxa"/>
            <w:noWrap w:val="0"/>
            <w:vAlign w:val="center"/>
          </w:tcPr>
          <w:p>
            <w:pPr>
              <w:pStyle w:val="18"/>
            </w:pPr>
            <w:r>
              <w:t>工作方案</w:t>
            </w:r>
          </w:p>
        </w:tc>
      </w:tr>
    </w:tbl>
    <w:p/>
    <w:p/>
    <w:p/>
    <w:p>
      <w:pPr>
        <w:ind w:firstLine="281" w:firstLineChars="100"/>
        <w:rPr>
          <w:rFonts w:hint="eastAsia"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小型修缮经费（年初）绩效目标表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rPr>
                <w:rFonts w:hint="eastAsia"/>
              </w:rPr>
              <w:t>为加强节约型机关建设，改善乡镇干部职工办公条件，保障干部职工及广大人民群众生命财产安全，提供安全、必要的办公条件</w:t>
            </w:r>
          </w:p>
        </w:tc>
      </w:tr>
    </w:tbl>
    <w:tbl>
      <w:tblPr>
        <w:tblStyle w:val="9"/>
        <w:tblpPr w:leftFromText="180" w:rightFromText="180" w:vertAnchor="text" w:horzAnchor="page" w:tblpX="1453" w:tblpY="2"/>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5"/>
        <w:gridCol w:w="1127"/>
        <w:gridCol w:w="2569"/>
        <w:gridCol w:w="4309"/>
        <w:gridCol w:w="2059"/>
        <w:gridCol w:w="26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tblHeader/>
        </w:trPr>
        <w:tc>
          <w:tcPr>
            <w:tcW w:w="1425" w:type="dxa"/>
            <w:noWrap w:val="0"/>
            <w:vAlign w:val="center"/>
          </w:tcPr>
          <w:p>
            <w:pPr>
              <w:pStyle w:val="16"/>
            </w:pPr>
            <w:r>
              <w:t>一级指标</w:t>
            </w:r>
          </w:p>
        </w:tc>
        <w:tc>
          <w:tcPr>
            <w:tcW w:w="1127" w:type="dxa"/>
            <w:noWrap w:val="0"/>
            <w:vAlign w:val="center"/>
          </w:tcPr>
          <w:p>
            <w:pPr>
              <w:pStyle w:val="16"/>
            </w:pPr>
            <w:r>
              <w:t>二级指标</w:t>
            </w:r>
          </w:p>
        </w:tc>
        <w:tc>
          <w:tcPr>
            <w:tcW w:w="2569" w:type="dxa"/>
            <w:noWrap w:val="0"/>
            <w:vAlign w:val="center"/>
          </w:tcPr>
          <w:p>
            <w:pPr>
              <w:pStyle w:val="16"/>
            </w:pPr>
            <w:r>
              <w:t>三级指标</w:t>
            </w:r>
          </w:p>
        </w:tc>
        <w:tc>
          <w:tcPr>
            <w:tcW w:w="4309" w:type="dxa"/>
            <w:noWrap w:val="0"/>
            <w:vAlign w:val="center"/>
          </w:tcPr>
          <w:p>
            <w:pPr>
              <w:pStyle w:val="16"/>
            </w:pPr>
            <w:r>
              <w:t>绩效指标描述</w:t>
            </w:r>
          </w:p>
        </w:tc>
        <w:tc>
          <w:tcPr>
            <w:tcW w:w="2059" w:type="dxa"/>
            <w:noWrap w:val="0"/>
            <w:vAlign w:val="center"/>
          </w:tcPr>
          <w:p>
            <w:pPr>
              <w:pStyle w:val="16"/>
            </w:pPr>
            <w:r>
              <w:t>指标值</w:t>
            </w:r>
          </w:p>
        </w:tc>
        <w:tc>
          <w:tcPr>
            <w:tcW w:w="268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restart"/>
            <w:noWrap w:val="0"/>
            <w:vAlign w:val="center"/>
          </w:tcPr>
          <w:p>
            <w:pPr>
              <w:pStyle w:val="19"/>
            </w:pPr>
            <w:r>
              <w:t>产出指标</w:t>
            </w:r>
          </w:p>
        </w:tc>
        <w:tc>
          <w:tcPr>
            <w:tcW w:w="1127" w:type="dxa"/>
            <w:noWrap w:val="0"/>
            <w:vAlign w:val="center"/>
          </w:tcPr>
          <w:p>
            <w:pPr>
              <w:pStyle w:val="18"/>
            </w:pPr>
            <w:r>
              <w:t>数量指标</w:t>
            </w:r>
          </w:p>
        </w:tc>
        <w:tc>
          <w:tcPr>
            <w:tcW w:w="2569" w:type="dxa"/>
            <w:noWrap w:val="0"/>
            <w:vAlign w:val="center"/>
          </w:tcPr>
          <w:p>
            <w:pPr>
              <w:pStyle w:val="18"/>
            </w:pPr>
            <w:r>
              <w:t>修缮项目验收合格率</w:t>
            </w:r>
          </w:p>
        </w:tc>
        <w:tc>
          <w:tcPr>
            <w:tcW w:w="4309" w:type="dxa"/>
            <w:noWrap w:val="0"/>
            <w:vAlign w:val="center"/>
          </w:tcPr>
          <w:p>
            <w:pPr>
              <w:pStyle w:val="18"/>
            </w:pPr>
            <w:r>
              <w:t>通过验收的工程量占建设、改造、修缮总量的比率</w:t>
            </w:r>
          </w:p>
        </w:tc>
        <w:tc>
          <w:tcPr>
            <w:tcW w:w="2059" w:type="dxa"/>
            <w:noWrap w:val="0"/>
            <w:vAlign w:val="center"/>
          </w:tcPr>
          <w:p>
            <w:pPr>
              <w:pStyle w:val="18"/>
            </w:pPr>
            <w:r>
              <w:t>≥90百分比</w:t>
            </w:r>
          </w:p>
        </w:tc>
        <w:tc>
          <w:tcPr>
            <w:tcW w:w="2686"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0"/>
            <w:vAlign w:val="center"/>
          </w:tcPr>
          <w:p/>
        </w:tc>
        <w:tc>
          <w:tcPr>
            <w:tcW w:w="1127" w:type="dxa"/>
            <w:noWrap w:val="0"/>
            <w:vAlign w:val="center"/>
          </w:tcPr>
          <w:p>
            <w:pPr>
              <w:pStyle w:val="18"/>
            </w:pPr>
            <w:r>
              <w:t>质量指标</w:t>
            </w:r>
          </w:p>
        </w:tc>
        <w:tc>
          <w:tcPr>
            <w:tcW w:w="2569" w:type="dxa"/>
            <w:noWrap w:val="0"/>
            <w:vAlign w:val="center"/>
          </w:tcPr>
          <w:p>
            <w:pPr>
              <w:pStyle w:val="18"/>
            </w:pPr>
            <w:r>
              <w:t>修缮项目完成率</w:t>
            </w:r>
          </w:p>
        </w:tc>
        <w:tc>
          <w:tcPr>
            <w:tcW w:w="4309" w:type="dxa"/>
            <w:noWrap w:val="0"/>
            <w:vAlign w:val="center"/>
          </w:tcPr>
          <w:p>
            <w:pPr>
              <w:pStyle w:val="18"/>
            </w:pPr>
            <w:r>
              <w:t>实际完成工程量占计划完成工程量的比率</w:t>
            </w:r>
          </w:p>
        </w:tc>
        <w:tc>
          <w:tcPr>
            <w:tcW w:w="2059" w:type="dxa"/>
            <w:noWrap w:val="0"/>
            <w:vAlign w:val="center"/>
          </w:tcPr>
          <w:p>
            <w:pPr>
              <w:pStyle w:val="18"/>
            </w:pPr>
            <w:r>
              <w:t>≥90百分比</w:t>
            </w:r>
          </w:p>
        </w:tc>
        <w:tc>
          <w:tcPr>
            <w:tcW w:w="2686"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0"/>
            <w:vAlign w:val="center"/>
          </w:tcPr>
          <w:p/>
        </w:tc>
        <w:tc>
          <w:tcPr>
            <w:tcW w:w="1127" w:type="dxa"/>
            <w:noWrap w:val="0"/>
            <w:vAlign w:val="center"/>
          </w:tcPr>
          <w:p>
            <w:pPr>
              <w:pStyle w:val="18"/>
            </w:pPr>
            <w:r>
              <w:t>时效指标</w:t>
            </w:r>
          </w:p>
        </w:tc>
        <w:tc>
          <w:tcPr>
            <w:tcW w:w="2569" w:type="dxa"/>
            <w:noWrap w:val="0"/>
            <w:vAlign w:val="center"/>
          </w:tcPr>
          <w:p>
            <w:pPr>
              <w:pStyle w:val="18"/>
            </w:pPr>
            <w:r>
              <w:t>年度项目完成情况</w:t>
            </w:r>
          </w:p>
        </w:tc>
        <w:tc>
          <w:tcPr>
            <w:tcW w:w="4309" w:type="dxa"/>
            <w:noWrap w:val="0"/>
            <w:vAlign w:val="center"/>
          </w:tcPr>
          <w:p>
            <w:pPr>
              <w:pStyle w:val="18"/>
            </w:pPr>
            <w:r>
              <w:t>年度项目按规定时间点完成</w:t>
            </w:r>
          </w:p>
        </w:tc>
        <w:tc>
          <w:tcPr>
            <w:tcW w:w="2059" w:type="dxa"/>
            <w:noWrap w:val="0"/>
            <w:vAlign w:val="center"/>
          </w:tcPr>
          <w:p>
            <w:pPr>
              <w:pStyle w:val="18"/>
            </w:pPr>
            <w:r>
              <w:t>≥90百分比</w:t>
            </w:r>
          </w:p>
        </w:tc>
        <w:tc>
          <w:tcPr>
            <w:tcW w:w="2686"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0"/>
            <w:vAlign w:val="center"/>
          </w:tcPr>
          <w:p/>
        </w:tc>
        <w:tc>
          <w:tcPr>
            <w:tcW w:w="1127" w:type="dxa"/>
            <w:noWrap w:val="0"/>
            <w:vAlign w:val="center"/>
          </w:tcPr>
          <w:p>
            <w:pPr>
              <w:pStyle w:val="18"/>
            </w:pPr>
            <w:r>
              <w:t>成本指标</w:t>
            </w:r>
          </w:p>
        </w:tc>
        <w:tc>
          <w:tcPr>
            <w:tcW w:w="2569" w:type="dxa"/>
            <w:noWrap w:val="0"/>
            <w:vAlign w:val="center"/>
          </w:tcPr>
          <w:p>
            <w:pPr>
              <w:pStyle w:val="18"/>
            </w:pPr>
            <w:r>
              <w:t>经费控制数</w:t>
            </w:r>
          </w:p>
        </w:tc>
        <w:tc>
          <w:tcPr>
            <w:tcW w:w="4309" w:type="dxa"/>
            <w:noWrap w:val="0"/>
            <w:vAlign w:val="center"/>
          </w:tcPr>
          <w:p>
            <w:pPr>
              <w:pStyle w:val="18"/>
            </w:pPr>
            <w:r>
              <w:t>经费控制数</w:t>
            </w:r>
          </w:p>
        </w:tc>
        <w:tc>
          <w:tcPr>
            <w:tcW w:w="2059" w:type="dxa"/>
            <w:noWrap w:val="0"/>
            <w:vAlign w:val="center"/>
          </w:tcPr>
          <w:p>
            <w:pPr>
              <w:pStyle w:val="18"/>
            </w:pPr>
            <w:r>
              <w:t>≤3.53万元</w:t>
            </w:r>
          </w:p>
        </w:tc>
        <w:tc>
          <w:tcPr>
            <w:tcW w:w="2686"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noWrap w:val="0"/>
            <w:vAlign w:val="center"/>
          </w:tcPr>
          <w:p>
            <w:pPr>
              <w:pStyle w:val="19"/>
            </w:pPr>
            <w:r>
              <w:t>效益指标</w:t>
            </w:r>
          </w:p>
        </w:tc>
        <w:tc>
          <w:tcPr>
            <w:tcW w:w="1127" w:type="dxa"/>
            <w:noWrap w:val="0"/>
            <w:vAlign w:val="center"/>
          </w:tcPr>
          <w:p>
            <w:pPr>
              <w:pStyle w:val="18"/>
            </w:pPr>
            <w:r>
              <w:t>社会效益指标</w:t>
            </w:r>
          </w:p>
        </w:tc>
        <w:tc>
          <w:tcPr>
            <w:tcW w:w="2569" w:type="dxa"/>
            <w:noWrap w:val="0"/>
            <w:vAlign w:val="center"/>
          </w:tcPr>
          <w:p>
            <w:pPr>
              <w:pStyle w:val="18"/>
            </w:pPr>
            <w:r>
              <w:t>办公设施的改善成效</w:t>
            </w:r>
          </w:p>
        </w:tc>
        <w:tc>
          <w:tcPr>
            <w:tcW w:w="4309" w:type="dxa"/>
            <w:noWrap w:val="0"/>
            <w:vAlign w:val="center"/>
          </w:tcPr>
          <w:p>
            <w:pPr>
              <w:pStyle w:val="18"/>
            </w:pPr>
            <w:r>
              <w:t>反映修缮后办公设施改善情况</w:t>
            </w:r>
          </w:p>
        </w:tc>
        <w:tc>
          <w:tcPr>
            <w:tcW w:w="2059" w:type="dxa"/>
            <w:noWrap w:val="0"/>
            <w:vAlign w:val="center"/>
          </w:tcPr>
          <w:p>
            <w:pPr>
              <w:pStyle w:val="18"/>
            </w:pPr>
            <w:r>
              <w:t>≥90百分比</w:t>
            </w:r>
          </w:p>
        </w:tc>
        <w:tc>
          <w:tcPr>
            <w:tcW w:w="2686"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noWrap w:val="0"/>
            <w:vAlign w:val="center"/>
          </w:tcPr>
          <w:p>
            <w:pPr>
              <w:pStyle w:val="19"/>
            </w:pPr>
            <w:r>
              <w:t>满意度指标</w:t>
            </w:r>
          </w:p>
        </w:tc>
        <w:tc>
          <w:tcPr>
            <w:tcW w:w="1127" w:type="dxa"/>
            <w:noWrap w:val="0"/>
            <w:vAlign w:val="center"/>
          </w:tcPr>
          <w:p>
            <w:pPr>
              <w:pStyle w:val="18"/>
            </w:pPr>
            <w:r>
              <w:t>服务对象满意度指标</w:t>
            </w:r>
          </w:p>
        </w:tc>
        <w:tc>
          <w:tcPr>
            <w:tcW w:w="2569" w:type="dxa"/>
            <w:noWrap w:val="0"/>
            <w:vAlign w:val="center"/>
          </w:tcPr>
          <w:p>
            <w:pPr>
              <w:pStyle w:val="18"/>
            </w:pPr>
            <w:r>
              <w:t>服务对象满意度</w:t>
            </w:r>
          </w:p>
        </w:tc>
        <w:tc>
          <w:tcPr>
            <w:tcW w:w="4309" w:type="dxa"/>
            <w:noWrap w:val="0"/>
            <w:vAlign w:val="center"/>
          </w:tcPr>
          <w:p>
            <w:pPr>
              <w:pStyle w:val="18"/>
            </w:pPr>
            <w:r>
              <w:t>服务对象满意度</w:t>
            </w:r>
          </w:p>
        </w:tc>
        <w:tc>
          <w:tcPr>
            <w:tcW w:w="2059" w:type="dxa"/>
            <w:noWrap w:val="0"/>
            <w:vAlign w:val="center"/>
          </w:tcPr>
          <w:p>
            <w:pPr>
              <w:pStyle w:val="18"/>
            </w:pPr>
            <w:r>
              <w:t>≥90百分比</w:t>
            </w:r>
          </w:p>
        </w:tc>
        <w:tc>
          <w:tcPr>
            <w:tcW w:w="2686" w:type="dxa"/>
            <w:noWrap w:val="0"/>
            <w:vAlign w:val="center"/>
          </w:tcPr>
          <w:p>
            <w:pPr>
              <w:pStyle w:val="18"/>
            </w:pPr>
            <w:r>
              <w:t>依据工作方案</w:t>
            </w:r>
          </w:p>
        </w:tc>
      </w:tr>
    </w:tbl>
    <w:p>
      <w:pPr>
        <w:sectPr>
          <w:type w:val="continuous"/>
          <w:pgSz w:w="16840" w:h="11900" w:orient="landscape"/>
          <w:pgMar w:top="1361" w:right="1021" w:bottom="1134" w:left="1021" w:header="720" w:footer="720" w:gutter="0"/>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320" w:firstLineChars="100"/>
        <w:outlineLvl w:val="5"/>
        <w:rPr>
          <w:rFonts w:ascii="方正仿宋_GBK" w:hAnsi="方正仿宋_GBK" w:eastAsia="方正仿宋_GBK" w:cs="方正仿宋_GBK"/>
          <w:color w:val="000000"/>
          <w:sz w:val="28"/>
        </w:rPr>
      </w:pPr>
      <w:r>
        <w:rPr>
          <w:rFonts w:hint="eastAsia" w:ascii="黑体" w:hAnsi="黑体" w:eastAsia="黑体" w:cs="黑体"/>
          <w:color w:val="000000"/>
          <w:sz w:val="32"/>
          <w:lang w:val="en-US" w:eastAsia="zh-CN"/>
        </w:rPr>
        <w:t>9、</w:t>
      </w:r>
      <w:r>
        <w:rPr>
          <w:rFonts w:ascii="方正仿宋_GBK" w:hAnsi="方正仿宋_GBK" w:eastAsia="方正仿宋_GBK" w:cs="方正仿宋_GBK"/>
          <w:color w:val="000000"/>
          <w:sz w:val="28"/>
        </w:rPr>
        <w:t>2023年胡家庄乡扶持壮大村集体经济项目绩效目标表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2"/>
        <w:gridCol w:w="1281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2" w:type="dxa"/>
            <w:vAlign w:val="center"/>
          </w:tcPr>
          <w:p>
            <w:pPr>
              <w:pStyle w:val="16"/>
            </w:pPr>
            <w:r>
              <w:t>绩效目标</w:t>
            </w:r>
          </w:p>
        </w:tc>
        <w:tc>
          <w:tcPr>
            <w:tcW w:w="12815" w:type="dxa"/>
            <w:vAlign w:val="center"/>
          </w:tcPr>
          <w:p>
            <w:pPr>
              <w:pStyle w:val="18"/>
            </w:pPr>
            <w:r>
              <w:t>1.进一步提升我乡经济增速。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2"/>
        <w:gridCol w:w="1200"/>
        <w:gridCol w:w="2565"/>
        <w:gridCol w:w="4290"/>
        <w:gridCol w:w="2085"/>
        <w:gridCol w:w="26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22" w:type="dxa"/>
            <w:vAlign w:val="center"/>
          </w:tcPr>
          <w:p>
            <w:pPr>
              <w:pStyle w:val="16"/>
            </w:pPr>
            <w:r>
              <w:t>一级指标</w:t>
            </w:r>
          </w:p>
        </w:tc>
        <w:tc>
          <w:tcPr>
            <w:tcW w:w="1200" w:type="dxa"/>
            <w:vAlign w:val="center"/>
          </w:tcPr>
          <w:p>
            <w:pPr>
              <w:pStyle w:val="16"/>
            </w:pPr>
            <w:r>
              <w:t>二级指标</w:t>
            </w:r>
          </w:p>
        </w:tc>
        <w:tc>
          <w:tcPr>
            <w:tcW w:w="2565" w:type="dxa"/>
            <w:vAlign w:val="center"/>
          </w:tcPr>
          <w:p>
            <w:pPr>
              <w:pStyle w:val="16"/>
            </w:pPr>
            <w:r>
              <w:t>三级指标</w:t>
            </w:r>
          </w:p>
        </w:tc>
        <w:tc>
          <w:tcPr>
            <w:tcW w:w="4290" w:type="dxa"/>
            <w:vAlign w:val="center"/>
          </w:tcPr>
          <w:p>
            <w:pPr>
              <w:pStyle w:val="16"/>
            </w:pPr>
            <w:r>
              <w:t>绩效指标描述</w:t>
            </w:r>
          </w:p>
        </w:tc>
        <w:tc>
          <w:tcPr>
            <w:tcW w:w="2085" w:type="dxa"/>
            <w:vAlign w:val="center"/>
          </w:tcPr>
          <w:p>
            <w:pPr>
              <w:pStyle w:val="16"/>
            </w:pPr>
            <w:r>
              <w:t>指标值</w:t>
            </w:r>
          </w:p>
        </w:tc>
        <w:tc>
          <w:tcPr>
            <w:tcW w:w="269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restart"/>
            <w:vAlign w:val="center"/>
          </w:tcPr>
          <w:p>
            <w:pPr>
              <w:pStyle w:val="19"/>
            </w:pPr>
            <w:r>
              <w:t>产出指标</w:t>
            </w:r>
          </w:p>
        </w:tc>
        <w:tc>
          <w:tcPr>
            <w:tcW w:w="1200" w:type="dxa"/>
            <w:vAlign w:val="center"/>
          </w:tcPr>
          <w:p>
            <w:pPr>
              <w:pStyle w:val="18"/>
            </w:pPr>
            <w:r>
              <w:t>数量指标</w:t>
            </w:r>
          </w:p>
        </w:tc>
        <w:tc>
          <w:tcPr>
            <w:tcW w:w="2565" w:type="dxa"/>
            <w:vAlign w:val="center"/>
          </w:tcPr>
          <w:p>
            <w:pPr>
              <w:pStyle w:val="18"/>
            </w:pPr>
            <w:r>
              <w:t>完成率</w:t>
            </w:r>
          </w:p>
        </w:tc>
        <w:tc>
          <w:tcPr>
            <w:tcW w:w="4290" w:type="dxa"/>
            <w:vAlign w:val="center"/>
          </w:tcPr>
          <w:p>
            <w:pPr>
              <w:pStyle w:val="18"/>
            </w:pPr>
            <w:r>
              <w:t>按照要求和计划完成研究任务的项目在确保时间内完成</w:t>
            </w:r>
          </w:p>
        </w:tc>
        <w:tc>
          <w:tcPr>
            <w:tcW w:w="2085" w:type="dxa"/>
            <w:vAlign w:val="center"/>
          </w:tcPr>
          <w:p>
            <w:pPr>
              <w:pStyle w:val="18"/>
            </w:pPr>
            <w:r>
              <w:t>≥85%</w:t>
            </w:r>
          </w:p>
        </w:tc>
        <w:tc>
          <w:tcPr>
            <w:tcW w:w="2695"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continue"/>
            <w:vAlign w:val="center"/>
          </w:tcPr>
          <w:p/>
        </w:tc>
        <w:tc>
          <w:tcPr>
            <w:tcW w:w="1200" w:type="dxa"/>
            <w:vAlign w:val="center"/>
          </w:tcPr>
          <w:p>
            <w:pPr>
              <w:pStyle w:val="18"/>
            </w:pPr>
            <w:r>
              <w:t>质量指标</w:t>
            </w:r>
          </w:p>
        </w:tc>
        <w:tc>
          <w:tcPr>
            <w:tcW w:w="2565" w:type="dxa"/>
            <w:vAlign w:val="center"/>
          </w:tcPr>
          <w:p>
            <w:pPr>
              <w:pStyle w:val="18"/>
            </w:pPr>
            <w:r>
              <w:t>覆盖率</w:t>
            </w:r>
          </w:p>
        </w:tc>
        <w:tc>
          <w:tcPr>
            <w:tcW w:w="4290" w:type="dxa"/>
            <w:vAlign w:val="center"/>
          </w:tcPr>
          <w:p>
            <w:pPr>
              <w:pStyle w:val="18"/>
            </w:pPr>
            <w:r>
              <w:t>确保全村项目全覆盖</w:t>
            </w:r>
          </w:p>
        </w:tc>
        <w:tc>
          <w:tcPr>
            <w:tcW w:w="2085" w:type="dxa"/>
            <w:vAlign w:val="center"/>
          </w:tcPr>
          <w:p>
            <w:pPr>
              <w:pStyle w:val="18"/>
            </w:pPr>
            <w:r>
              <w:t>≥85%</w:t>
            </w:r>
          </w:p>
        </w:tc>
        <w:tc>
          <w:tcPr>
            <w:tcW w:w="2695"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continue"/>
            <w:vAlign w:val="center"/>
          </w:tcPr>
          <w:p/>
        </w:tc>
        <w:tc>
          <w:tcPr>
            <w:tcW w:w="1200" w:type="dxa"/>
            <w:vAlign w:val="center"/>
          </w:tcPr>
          <w:p>
            <w:pPr>
              <w:pStyle w:val="18"/>
            </w:pPr>
            <w:r>
              <w:t>时效指标</w:t>
            </w:r>
          </w:p>
        </w:tc>
        <w:tc>
          <w:tcPr>
            <w:tcW w:w="2565" w:type="dxa"/>
            <w:vAlign w:val="center"/>
          </w:tcPr>
          <w:p>
            <w:pPr>
              <w:pStyle w:val="18"/>
            </w:pPr>
            <w:r>
              <w:t>总成本</w:t>
            </w:r>
          </w:p>
        </w:tc>
        <w:tc>
          <w:tcPr>
            <w:tcW w:w="4290" w:type="dxa"/>
            <w:vAlign w:val="center"/>
          </w:tcPr>
          <w:p>
            <w:pPr>
              <w:pStyle w:val="18"/>
            </w:pPr>
            <w:r>
              <w:t>总成本</w:t>
            </w:r>
          </w:p>
        </w:tc>
        <w:tc>
          <w:tcPr>
            <w:tcW w:w="2085" w:type="dxa"/>
            <w:vAlign w:val="center"/>
          </w:tcPr>
          <w:p>
            <w:pPr>
              <w:pStyle w:val="18"/>
            </w:pPr>
            <w:r>
              <w:t>≥90%</w:t>
            </w:r>
          </w:p>
        </w:tc>
        <w:tc>
          <w:tcPr>
            <w:tcW w:w="2695"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continue"/>
            <w:vAlign w:val="center"/>
          </w:tcPr>
          <w:p/>
        </w:tc>
        <w:tc>
          <w:tcPr>
            <w:tcW w:w="1200" w:type="dxa"/>
            <w:vAlign w:val="center"/>
          </w:tcPr>
          <w:p>
            <w:pPr>
              <w:pStyle w:val="18"/>
            </w:pPr>
            <w:r>
              <w:t>成本指标</w:t>
            </w:r>
          </w:p>
        </w:tc>
        <w:tc>
          <w:tcPr>
            <w:tcW w:w="2565" w:type="dxa"/>
            <w:vAlign w:val="center"/>
          </w:tcPr>
          <w:p>
            <w:pPr>
              <w:pStyle w:val="18"/>
            </w:pPr>
            <w:r>
              <w:t>质量达标率</w:t>
            </w:r>
          </w:p>
        </w:tc>
        <w:tc>
          <w:tcPr>
            <w:tcW w:w="4290" w:type="dxa"/>
            <w:vAlign w:val="center"/>
          </w:tcPr>
          <w:p>
            <w:pPr>
              <w:pStyle w:val="18"/>
            </w:pPr>
            <w:r>
              <w:t>质量达标率</w:t>
            </w:r>
          </w:p>
        </w:tc>
        <w:tc>
          <w:tcPr>
            <w:tcW w:w="2085" w:type="dxa"/>
            <w:vAlign w:val="center"/>
          </w:tcPr>
          <w:p>
            <w:pPr>
              <w:pStyle w:val="18"/>
            </w:pPr>
            <w:r>
              <w:t>≥92%</w:t>
            </w:r>
          </w:p>
        </w:tc>
        <w:tc>
          <w:tcPr>
            <w:tcW w:w="2695"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restart"/>
            <w:vAlign w:val="center"/>
          </w:tcPr>
          <w:p>
            <w:pPr>
              <w:pStyle w:val="19"/>
            </w:pPr>
            <w:r>
              <w:t>效益指标</w:t>
            </w:r>
          </w:p>
        </w:tc>
        <w:tc>
          <w:tcPr>
            <w:tcW w:w="1200" w:type="dxa"/>
            <w:vAlign w:val="center"/>
          </w:tcPr>
          <w:p>
            <w:pPr>
              <w:pStyle w:val="18"/>
            </w:pPr>
            <w:r>
              <w:t>社会效益指标</w:t>
            </w:r>
          </w:p>
        </w:tc>
        <w:tc>
          <w:tcPr>
            <w:tcW w:w="2565" w:type="dxa"/>
            <w:vAlign w:val="center"/>
          </w:tcPr>
          <w:p>
            <w:pPr>
              <w:pStyle w:val="18"/>
            </w:pPr>
            <w:r>
              <w:t>经济效益指标</w:t>
            </w:r>
          </w:p>
        </w:tc>
        <w:tc>
          <w:tcPr>
            <w:tcW w:w="4290" w:type="dxa"/>
            <w:vAlign w:val="center"/>
          </w:tcPr>
          <w:p>
            <w:pPr>
              <w:pStyle w:val="18"/>
            </w:pPr>
            <w:r>
              <w:t>经济效益指标</w:t>
            </w:r>
          </w:p>
        </w:tc>
        <w:tc>
          <w:tcPr>
            <w:tcW w:w="2085" w:type="dxa"/>
            <w:vAlign w:val="center"/>
          </w:tcPr>
          <w:p>
            <w:pPr>
              <w:pStyle w:val="18"/>
            </w:pPr>
            <w:r>
              <w:t>≥91%</w:t>
            </w:r>
          </w:p>
        </w:tc>
        <w:tc>
          <w:tcPr>
            <w:tcW w:w="2695"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continue"/>
            <w:vAlign w:val="center"/>
          </w:tcPr>
          <w:p/>
        </w:tc>
        <w:tc>
          <w:tcPr>
            <w:tcW w:w="1200" w:type="dxa"/>
            <w:vAlign w:val="center"/>
          </w:tcPr>
          <w:p>
            <w:pPr>
              <w:pStyle w:val="18"/>
            </w:pPr>
            <w:r>
              <w:t>社会效益指标</w:t>
            </w:r>
          </w:p>
        </w:tc>
        <w:tc>
          <w:tcPr>
            <w:tcW w:w="2565" w:type="dxa"/>
            <w:vAlign w:val="center"/>
          </w:tcPr>
          <w:p>
            <w:pPr>
              <w:pStyle w:val="18"/>
            </w:pPr>
            <w:r>
              <w:t>社会影响力</w:t>
            </w:r>
          </w:p>
        </w:tc>
        <w:tc>
          <w:tcPr>
            <w:tcW w:w="4290" w:type="dxa"/>
            <w:vAlign w:val="center"/>
          </w:tcPr>
          <w:p>
            <w:pPr>
              <w:pStyle w:val="18"/>
            </w:pPr>
            <w:r>
              <w:t>社会影响力</w:t>
            </w:r>
          </w:p>
        </w:tc>
        <w:tc>
          <w:tcPr>
            <w:tcW w:w="2085" w:type="dxa"/>
            <w:vAlign w:val="center"/>
          </w:tcPr>
          <w:p>
            <w:pPr>
              <w:pStyle w:val="18"/>
            </w:pPr>
            <w:r>
              <w:t>≥94%</w:t>
            </w:r>
          </w:p>
        </w:tc>
        <w:tc>
          <w:tcPr>
            <w:tcW w:w="2695"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Align w:val="center"/>
          </w:tcPr>
          <w:p>
            <w:pPr>
              <w:pStyle w:val="19"/>
            </w:pPr>
            <w:r>
              <w:t>满意度指标</w:t>
            </w:r>
          </w:p>
        </w:tc>
        <w:tc>
          <w:tcPr>
            <w:tcW w:w="1200" w:type="dxa"/>
            <w:vAlign w:val="center"/>
          </w:tcPr>
          <w:p>
            <w:pPr>
              <w:pStyle w:val="18"/>
            </w:pPr>
            <w:r>
              <w:t>服务对象满意度指标</w:t>
            </w:r>
          </w:p>
        </w:tc>
        <w:tc>
          <w:tcPr>
            <w:tcW w:w="2565" w:type="dxa"/>
            <w:vAlign w:val="center"/>
          </w:tcPr>
          <w:p>
            <w:pPr>
              <w:pStyle w:val="18"/>
            </w:pPr>
            <w:r>
              <w:t>社会公众满意度</w:t>
            </w:r>
          </w:p>
        </w:tc>
        <w:tc>
          <w:tcPr>
            <w:tcW w:w="4290" w:type="dxa"/>
            <w:vAlign w:val="center"/>
          </w:tcPr>
          <w:p>
            <w:pPr>
              <w:pStyle w:val="18"/>
            </w:pPr>
            <w:r>
              <w:t>社会公众满意度</w:t>
            </w:r>
          </w:p>
        </w:tc>
        <w:tc>
          <w:tcPr>
            <w:tcW w:w="2085" w:type="dxa"/>
            <w:vAlign w:val="center"/>
          </w:tcPr>
          <w:p>
            <w:pPr>
              <w:pStyle w:val="18"/>
            </w:pPr>
            <w:r>
              <w:t>≥96%</w:t>
            </w:r>
          </w:p>
        </w:tc>
        <w:tc>
          <w:tcPr>
            <w:tcW w:w="2695" w:type="dxa"/>
            <w:vAlign w:val="center"/>
          </w:tcPr>
          <w:p>
            <w:pPr>
              <w:pStyle w:val="18"/>
            </w:pPr>
            <w:r>
              <w:t>依据相关文件</w:t>
            </w:r>
          </w:p>
        </w:tc>
      </w:tr>
    </w:tbl>
    <w:p>
      <w:pPr>
        <w:spacing w:before="10" w:after="10"/>
        <w:ind w:firstLine="280" w:firstLineChars="100"/>
        <w:outlineLvl w:val="5"/>
        <w:rPr>
          <w:rFonts w:hint="default" w:ascii="方正仿宋_GBK" w:hAnsi="方正仿宋_GBK" w:eastAsia="方正仿宋_GBK" w:cs="方正仿宋_GBK"/>
          <w:color w:val="000000"/>
          <w:sz w:val="28"/>
          <w:lang w:val="en-US" w:eastAsia="zh-CN"/>
        </w:rPr>
      </w:pPr>
    </w:p>
    <w:p>
      <w:pPr>
        <w:numPr>
          <w:ilvl w:val="0"/>
          <w:numId w:val="2"/>
        </w:numPr>
        <w:spacing w:before="10" w:after="10"/>
        <w:ind w:firstLine="280" w:firstLineChars="100"/>
        <w:outlineLvl w:val="5"/>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乡镇行政执法专项经费绩效目标表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7"/>
        <w:gridCol w:w="1269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7" w:type="dxa"/>
            <w:vAlign w:val="center"/>
          </w:tcPr>
          <w:p>
            <w:pPr>
              <w:pStyle w:val="16"/>
            </w:pPr>
            <w:r>
              <w:t>绩效目标</w:t>
            </w:r>
          </w:p>
        </w:tc>
        <w:tc>
          <w:tcPr>
            <w:tcW w:w="12690" w:type="dxa"/>
            <w:vAlign w:val="center"/>
          </w:tcPr>
          <w:p>
            <w:pPr>
              <w:pStyle w:val="18"/>
            </w:pPr>
            <w:r>
              <w:t>1.为了更好地推动乡镇行政执法的力度</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7"/>
        <w:gridCol w:w="1260"/>
        <w:gridCol w:w="2490"/>
        <w:gridCol w:w="4305"/>
        <w:gridCol w:w="2115"/>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07" w:type="dxa"/>
            <w:vAlign w:val="center"/>
          </w:tcPr>
          <w:p>
            <w:pPr>
              <w:pStyle w:val="16"/>
            </w:pPr>
            <w:r>
              <w:t>一级指标</w:t>
            </w:r>
          </w:p>
        </w:tc>
        <w:tc>
          <w:tcPr>
            <w:tcW w:w="1260" w:type="dxa"/>
            <w:vAlign w:val="center"/>
          </w:tcPr>
          <w:p>
            <w:pPr>
              <w:pStyle w:val="16"/>
            </w:pPr>
            <w:r>
              <w:t>二级指标</w:t>
            </w:r>
          </w:p>
        </w:tc>
        <w:tc>
          <w:tcPr>
            <w:tcW w:w="2490" w:type="dxa"/>
            <w:vAlign w:val="center"/>
          </w:tcPr>
          <w:p>
            <w:pPr>
              <w:pStyle w:val="16"/>
            </w:pPr>
            <w:r>
              <w:t>三级指标</w:t>
            </w:r>
          </w:p>
        </w:tc>
        <w:tc>
          <w:tcPr>
            <w:tcW w:w="4305" w:type="dxa"/>
            <w:vAlign w:val="center"/>
          </w:tcPr>
          <w:p>
            <w:pPr>
              <w:pStyle w:val="16"/>
            </w:pPr>
            <w:r>
              <w:t>绩效指标描述</w:t>
            </w:r>
          </w:p>
        </w:tc>
        <w:tc>
          <w:tcPr>
            <w:tcW w:w="2115" w:type="dxa"/>
            <w:vAlign w:val="center"/>
          </w:tcPr>
          <w:p>
            <w:pPr>
              <w:pStyle w:val="16"/>
            </w:pPr>
            <w:r>
              <w:t>指标值</w:t>
            </w:r>
          </w:p>
        </w:tc>
        <w:tc>
          <w:tcPr>
            <w:tcW w:w="255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7" w:type="dxa"/>
            <w:vMerge w:val="restart"/>
            <w:vAlign w:val="center"/>
          </w:tcPr>
          <w:p>
            <w:pPr>
              <w:pStyle w:val="19"/>
            </w:pPr>
            <w:r>
              <w:t>产出指标</w:t>
            </w:r>
          </w:p>
        </w:tc>
        <w:tc>
          <w:tcPr>
            <w:tcW w:w="1260" w:type="dxa"/>
            <w:vAlign w:val="center"/>
          </w:tcPr>
          <w:p>
            <w:pPr>
              <w:pStyle w:val="18"/>
            </w:pPr>
            <w:r>
              <w:t>数量指标</w:t>
            </w:r>
          </w:p>
        </w:tc>
        <w:tc>
          <w:tcPr>
            <w:tcW w:w="2490" w:type="dxa"/>
            <w:vAlign w:val="center"/>
          </w:tcPr>
          <w:p>
            <w:pPr>
              <w:pStyle w:val="18"/>
            </w:pPr>
            <w:r>
              <w:t>完成率</w:t>
            </w:r>
          </w:p>
        </w:tc>
        <w:tc>
          <w:tcPr>
            <w:tcW w:w="4305" w:type="dxa"/>
            <w:vAlign w:val="center"/>
          </w:tcPr>
          <w:p>
            <w:pPr>
              <w:pStyle w:val="18"/>
            </w:pPr>
            <w:r>
              <w:t>完成率</w:t>
            </w:r>
          </w:p>
        </w:tc>
        <w:tc>
          <w:tcPr>
            <w:tcW w:w="2115" w:type="dxa"/>
            <w:vAlign w:val="center"/>
          </w:tcPr>
          <w:p>
            <w:pPr>
              <w:pStyle w:val="18"/>
            </w:pPr>
            <w:r>
              <w:t>≥96%</w:t>
            </w:r>
          </w:p>
        </w:tc>
        <w:tc>
          <w:tcPr>
            <w:tcW w:w="2551"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7" w:type="dxa"/>
            <w:vMerge w:val="continue"/>
            <w:vAlign w:val="center"/>
          </w:tcPr>
          <w:p/>
        </w:tc>
        <w:tc>
          <w:tcPr>
            <w:tcW w:w="1260" w:type="dxa"/>
            <w:vAlign w:val="center"/>
          </w:tcPr>
          <w:p>
            <w:pPr>
              <w:pStyle w:val="18"/>
            </w:pPr>
            <w:r>
              <w:t>质量指标</w:t>
            </w:r>
          </w:p>
        </w:tc>
        <w:tc>
          <w:tcPr>
            <w:tcW w:w="2490" w:type="dxa"/>
            <w:vAlign w:val="center"/>
          </w:tcPr>
          <w:p>
            <w:pPr>
              <w:pStyle w:val="18"/>
            </w:pPr>
            <w:r>
              <w:t>质量达标率</w:t>
            </w:r>
          </w:p>
        </w:tc>
        <w:tc>
          <w:tcPr>
            <w:tcW w:w="4305" w:type="dxa"/>
            <w:vAlign w:val="center"/>
          </w:tcPr>
          <w:p>
            <w:pPr>
              <w:pStyle w:val="18"/>
            </w:pPr>
            <w:r>
              <w:t>质量达标率</w:t>
            </w:r>
          </w:p>
        </w:tc>
        <w:tc>
          <w:tcPr>
            <w:tcW w:w="2115" w:type="dxa"/>
            <w:vAlign w:val="center"/>
          </w:tcPr>
          <w:p>
            <w:pPr>
              <w:pStyle w:val="18"/>
            </w:pPr>
            <w:r>
              <w:t>≥93%</w:t>
            </w:r>
          </w:p>
        </w:tc>
        <w:tc>
          <w:tcPr>
            <w:tcW w:w="2551"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7" w:type="dxa"/>
            <w:vMerge w:val="continue"/>
            <w:vAlign w:val="center"/>
          </w:tcPr>
          <w:p/>
        </w:tc>
        <w:tc>
          <w:tcPr>
            <w:tcW w:w="1260" w:type="dxa"/>
            <w:vAlign w:val="center"/>
          </w:tcPr>
          <w:p>
            <w:pPr>
              <w:pStyle w:val="18"/>
            </w:pPr>
            <w:r>
              <w:t>时效指标</w:t>
            </w:r>
          </w:p>
        </w:tc>
        <w:tc>
          <w:tcPr>
            <w:tcW w:w="2490" w:type="dxa"/>
            <w:vAlign w:val="center"/>
          </w:tcPr>
          <w:p>
            <w:pPr>
              <w:pStyle w:val="18"/>
            </w:pPr>
            <w:r>
              <w:t>及时性</w:t>
            </w:r>
          </w:p>
        </w:tc>
        <w:tc>
          <w:tcPr>
            <w:tcW w:w="4305" w:type="dxa"/>
            <w:vAlign w:val="center"/>
          </w:tcPr>
          <w:p>
            <w:pPr>
              <w:pStyle w:val="18"/>
            </w:pPr>
            <w:r>
              <w:t>及时性</w:t>
            </w:r>
          </w:p>
        </w:tc>
        <w:tc>
          <w:tcPr>
            <w:tcW w:w="2115" w:type="dxa"/>
            <w:vAlign w:val="center"/>
          </w:tcPr>
          <w:p>
            <w:pPr>
              <w:pStyle w:val="18"/>
            </w:pPr>
            <w:r>
              <w:t>≥93%</w:t>
            </w:r>
          </w:p>
        </w:tc>
        <w:tc>
          <w:tcPr>
            <w:tcW w:w="2551"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7" w:type="dxa"/>
            <w:vMerge w:val="continue"/>
            <w:vAlign w:val="center"/>
          </w:tcPr>
          <w:p/>
        </w:tc>
        <w:tc>
          <w:tcPr>
            <w:tcW w:w="1260" w:type="dxa"/>
            <w:vAlign w:val="center"/>
          </w:tcPr>
          <w:p>
            <w:pPr>
              <w:pStyle w:val="18"/>
            </w:pPr>
            <w:r>
              <w:t>成本指标</w:t>
            </w:r>
          </w:p>
        </w:tc>
        <w:tc>
          <w:tcPr>
            <w:tcW w:w="2490" w:type="dxa"/>
            <w:vAlign w:val="center"/>
          </w:tcPr>
          <w:p>
            <w:pPr>
              <w:pStyle w:val="18"/>
            </w:pPr>
            <w:r>
              <w:t>完成工作目标需要资金</w:t>
            </w:r>
          </w:p>
        </w:tc>
        <w:tc>
          <w:tcPr>
            <w:tcW w:w="4305" w:type="dxa"/>
            <w:vAlign w:val="center"/>
          </w:tcPr>
          <w:p>
            <w:pPr>
              <w:pStyle w:val="18"/>
            </w:pPr>
            <w:r>
              <w:t>完成工作目标需要资金</w:t>
            </w:r>
          </w:p>
        </w:tc>
        <w:tc>
          <w:tcPr>
            <w:tcW w:w="2115" w:type="dxa"/>
            <w:vAlign w:val="center"/>
          </w:tcPr>
          <w:p>
            <w:pPr>
              <w:pStyle w:val="18"/>
            </w:pPr>
            <w:r>
              <w:t>5万元</w:t>
            </w:r>
          </w:p>
        </w:tc>
        <w:tc>
          <w:tcPr>
            <w:tcW w:w="2551"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7" w:type="dxa"/>
            <w:vAlign w:val="center"/>
          </w:tcPr>
          <w:p>
            <w:pPr>
              <w:pStyle w:val="19"/>
            </w:pPr>
            <w:r>
              <w:t>效益指标</w:t>
            </w:r>
          </w:p>
        </w:tc>
        <w:tc>
          <w:tcPr>
            <w:tcW w:w="1260" w:type="dxa"/>
            <w:vAlign w:val="center"/>
          </w:tcPr>
          <w:p>
            <w:pPr>
              <w:pStyle w:val="18"/>
            </w:pPr>
            <w:r>
              <w:t>社会效益指标</w:t>
            </w:r>
          </w:p>
        </w:tc>
        <w:tc>
          <w:tcPr>
            <w:tcW w:w="2490" w:type="dxa"/>
            <w:vAlign w:val="center"/>
          </w:tcPr>
          <w:p>
            <w:pPr>
              <w:pStyle w:val="18"/>
            </w:pPr>
            <w:r>
              <w:t>社会影响力</w:t>
            </w:r>
          </w:p>
        </w:tc>
        <w:tc>
          <w:tcPr>
            <w:tcW w:w="4305" w:type="dxa"/>
            <w:vAlign w:val="center"/>
          </w:tcPr>
          <w:p>
            <w:pPr>
              <w:pStyle w:val="18"/>
            </w:pPr>
            <w:r>
              <w:t>社会影响力</w:t>
            </w:r>
          </w:p>
        </w:tc>
        <w:tc>
          <w:tcPr>
            <w:tcW w:w="2115" w:type="dxa"/>
            <w:vAlign w:val="center"/>
          </w:tcPr>
          <w:p>
            <w:pPr>
              <w:pStyle w:val="18"/>
            </w:pPr>
            <w:r>
              <w:t>≥93%</w:t>
            </w:r>
          </w:p>
        </w:tc>
        <w:tc>
          <w:tcPr>
            <w:tcW w:w="2551" w:type="dxa"/>
            <w:vAlign w:val="center"/>
          </w:tcPr>
          <w:p>
            <w:pPr>
              <w:pStyle w:val="18"/>
            </w:pPr>
            <w:r>
              <w:t>依据工作方案</w:t>
            </w:r>
          </w:p>
        </w:tc>
      </w:tr>
    </w:tbl>
    <w:p>
      <w:pPr>
        <w:numPr>
          <w:ilvl w:val="0"/>
          <w:numId w:val="0"/>
        </w:numPr>
        <w:spacing w:before="10" w:after="10"/>
        <w:outlineLvl w:val="5"/>
        <w:rPr>
          <w:rFonts w:hint="default" w:ascii="方正仿宋_GBK" w:hAnsi="方正仿宋_GBK" w:eastAsia="方正仿宋_GBK" w:cs="方正仿宋_GBK"/>
          <w:color w:val="000000"/>
          <w:sz w:val="28"/>
          <w:lang w:val="en-US"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hint="eastAsia" w:eastAsia="方正仿宋_GBK"/>
          <w:lang w:eastAsia="zh-CN"/>
        </w:rPr>
      </w:pP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w:t>
      </w:r>
      <w:r>
        <w:rPr>
          <w:rFonts w:hint="eastAsia" w:eastAsia="方正仿宋_GBK"/>
          <w:color w:val="000000"/>
          <w:sz w:val="28"/>
          <w:lang w:eastAsia="zh-CN"/>
        </w:rPr>
        <w:t>涞水县胡家庄乡人民政府本级无政府采购预算安排。</w:t>
      </w:r>
    </w:p>
    <w:p>
      <w:pPr>
        <w:jc w:val="both"/>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部门政府采购预算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1"/>
        <w:gridCol w:w="874"/>
        <w:gridCol w:w="1027"/>
        <w:gridCol w:w="1027"/>
        <w:gridCol w:w="641"/>
        <w:gridCol w:w="769"/>
        <w:gridCol w:w="776"/>
        <w:gridCol w:w="873"/>
        <w:gridCol w:w="873"/>
        <w:gridCol w:w="873"/>
        <w:gridCol w:w="873"/>
        <w:gridCol w:w="873"/>
        <w:gridCol w:w="873"/>
        <w:gridCol w:w="873"/>
        <w:gridCol w:w="879"/>
        <w:gridCol w:w="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3" w:hRule="atLeast"/>
          <w:tblHeader/>
          <w:jc w:val="center"/>
        </w:trPr>
        <w:tc>
          <w:tcPr>
            <w:tcW w:w="6655" w:type="dxa"/>
            <w:gridSpan w:val="7"/>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809涞水县胡家庄乡人民政府本级</w:t>
            </w:r>
          </w:p>
        </w:tc>
        <w:tc>
          <w:tcPr>
            <w:tcW w:w="7864"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6" w:hRule="atLeast"/>
          <w:tblHeader/>
          <w:jc w:val="center"/>
        </w:trPr>
        <w:tc>
          <w:tcPr>
            <w:tcW w:w="2415" w:type="dxa"/>
            <w:gridSpan w:val="2"/>
            <w:vAlign w:val="center"/>
          </w:tcPr>
          <w:p>
            <w:pPr>
              <w:pStyle w:val="16"/>
            </w:pPr>
            <w:r>
              <w:t>政府采购项目来源</w:t>
            </w:r>
          </w:p>
        </w:tc>
        <w:tc>
          <w:tcPr>
            <w:tcW w:w="1027" w:type="dxa"/>
            <w:vMerge w:val="restart"/>
            <w:vAlign w:val="center"/>
          </w:tcPr>
          <w:p>
            <w:pPr>
              <w:pStyle w:val="16"/>
            </w:pPr>
            <w:r>
              <w:t>采购物品名称</w:t>
            </w:r>
          </w:p>
        </w:tc>
        <w:tc>
          <w:tcPr>
            <w:tcW w:w="1027" w:type="dxa"/>
            <w:vMerge w:val="restart"/>
            <w:vAlign w:val="center"/>
          </w:tcPr>
          <w:p>
            <w:pPr>
              <w:pStyle w:val="16"/>
            </w:pPr>
            <w:r>
              <w:t>政府采购目录序号</w:t>
            </w:r>
          </w:p>
        </w:tc>
        <w:tc>
          <w:tcPr>
            <w:tcW w:w="641" w:type="dxa"/>
            <w:vMerge w:val="restart"/>
            <w:vAlign w:val="center"/>
          </w:tcPr>
          <w:p>
            <w:pPr>
              <w:pStyle w:val="16"/>
            </w:pPr>
            <w:r>
              <w:t>计量  单位</w:t>
            </w:r>
          </w:p>
        </w:tc>
        <w:tc>
          <w:tcPr>
            <w:tcW w:w="769" w:type="dxa"/>
            <w:vMerge w:val="restart"/>
            <w:vAlign w:val="center"/>
          </w:tcPr>
          <w:p>
            <w:pPr>
              <w:pStyle w:val="16"/>
            </w:pPr>
            <w:r>
              <w:t>数量</w:t>
            </w:r>
          </w:p>
        </w:tc>
        <w:tc>
          <w:tcPr>
            <w:tcW w:w="776" w:type="dxa"/>
            <w:vMerge w:val="restart"/>
            <w:vAlign w:val="center"/>
          </w:tcPr>
          <w:p>
            <w:pPr>
              <w:pStyle w:val="16"/>
            </w:pPr>
            <w:r>
              <w:t>单价</w:t>
            </w:r>
          </w:p>
        </w:tc>
        <w:tc>
          <w:tcPr>
            <w:tcW w:w="6990" w:type="dxa"/>
            <w:gridSpan w:val="8"/>
            <w:vAlign w:val="center"/>
          </w:tcPr>
          <w:p>
            <w:pPr>
              <w:pStyle w:val="16"/>
            </w:pPr>
            <w:r>
              <w:t>政府采购金额（当年部门预算安排资金）</w:t>
            </w:r>
          </w:p>
        </w:tc>
        <w:tc>
          <w:tcPr>
            <w:tcW w:w="874" w:type="dxa"/>
            <w:vMerge w:val="restart"/>
            <w:vAlign w:val="center"/>
          </w:tcPr>
          <w:p>
            <w:pPr>
              <w:pStyle w:val="16"/>
            </w:pPr>
            <w:r>
              <w:t>202</w:t>
            </w:r>
            <w:r>
              <w:rPr>
                <w:rFonts w:hint="eastAsia"/>
                <w:lang w:val="en-US"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92" w:hRule="atLeast"/>
          <w:tblHeader/>
          <w:jc w:val="center"/>
        </w:trPr>
        <w:tc>
          <w:tcPr>
            <w:tcW w:w="1541" w:type="dxa"/>
            <w:vAlign w:val="center"/>
          </w:tcPr>
          <w:p>
            <w:pPr>
              <w:pStyle w:val="16"/>
            </w:pPr>
            <w:r>
              <w:t>项目名称</w:t>
            </w:r>
          </w:p>
        </w:tc>
        <w:tc>
          <w:tcPr>
            <w:tcW w:w="874" w:type="dxa"/>
            <w:vAlign w:val="center"/>
          </w:tcPr>
          <w:p>
            <w:pPr>
              <w:pStyle w:val="16"/>
            </w:pPr>
            <w:r>
              <w:t>预算    资金</w:t>
            </w:r>
          </w:p>
        </w:tc>
        <w:tc>
          <w:tcPr>
            <w:tcW w:w="1027" w:type="dxa"/>
            <w:vMerge w:val="continue"/>
          </w:tcPr>
          <w:p/>
        </w:tc>
        <w:tc>
          <w:tcPr>
            <w:tcW w:w="1027" w:type="dxa"/>
            <w:vMerge w:val="continue"/>
          </w:tcPr>
          <w:p/>
        </w:tc>
        <w:tc>
          <w:tcPr>
            <w:tcW w:w="641" w:type="dxa"/>
            <w:vMerge w:val="continue"/>
          </w:tcPr>
          <w:p/>
        </w:tc>
        <w:tc>
          <w:tcPr>
            <w:tcW w:w="769" w:type="dxa"/>
            <w:vMerge w:val="continue"/>
          </w:tcPr>
          <w:p/>
        </w:tc>
        <w:tc>
          <w:tcPr>
            <w:tcW w:w="776" w:type="dxa"/>
            <w:vMerge w:val="continue"/>
          </w:tcPr>
          <w:p/>
        </w:tc>
        <w:tc>
          <w:tcPr>
            <w:tcW w:w="873" w:type="dxa"/>
            <w:vAlign w:val="center"/>
          </w:tcPr>
          <w:p>
            <w:pPr>
              <w:pStyle w:val="16"/>
            </w:pPr>
            <w:r>
              <w:t>合计</w:t>
            </w:r>
          </w:p>
        </w:tc>
        <w:tc>
          <w:tcPr>
            <w:tcW w:w="873" w:type="dxa"/>
            <w:vAlign w:val="center"/>
          </w:tcPr>
          <w:p>
            <w:pPr>
              <w:pStyle w:val="16"/>
            </w:pPr>
            <w:r>
              <w:t>一般公共预算拨款</w:t>
            </w:r>
          </w:p>
        </w:tc>
        <w:tc>
          <w:tcPr>
            <w:tcW w:w="873" w:type="dxa"/>
            <w:vAlign w:val="center"/>
          </w:tcPr>
          <w:p>
            <w:pPr>
              <w:pStyle w:val="16"/>
            </w:pPr>
            <w:r>
              <w:t>基金预算拨款</w:t>
            </w:r>
          </w:p>
        </w:tc>
        <w:tc>
          <w:tcPr>
            <w:tcW w:w="873" w:type="dxa"/>
            <w:vAlign w:val="center"/>
          </w:tcPr>
          <w:p>
            <w:pPr>
              <w:pStyle w:val="16"/>
            </w:pPr>
            <w:r>
              <w:t>国有资本经营预算拨款</w:t>
            </w:r>
          </w:p>
        </w:tc>
        <w:tc>
          <w:tcPr>
            <w:tcW w:w="873" w:type="dxa"/>
            <w:vAlign w:val="center"/>
          </w:tcPr>
          <w:p>
            <w:pPr>
              <w:pStyle w:val="16"/>
            </w:pPr>
            <w:r>
              <w:t>财政专户核拨</w:t>
            </w:r>
          </w:p>
        </w:tc>
        <w:tc>
          <w:tcPr>
            <w:tcW w:w="873" w:type="dxa"/>
            <w:vAlign w:val="center"/>
          </w:tcPr>
          <w:p>
            <w:pPr>
              <w:pStyle w:val="16"/>
            </w:pPr>
            <w:r>
              <w:t>单位    资金</w:t>
            </w:r>
          </w:p>
        </w:tc>
        <w:tc>
          <w:tcPr>
            <w:tcW w:w="873" w:type="dxa"/>
            <w:vAlign w:val="center"/>
          </w:tcPr>
          <w:p>
            <w:pPr>
              <w:pStyle w:val="16"/>
            </w:pPr>
            <w:r>
              <w:t>财政拨    款结转</w:t>
            </w:r>
          </w:p>
        </w:tc>
        <w:tc>
          <w:tcPr>
            <w:tcW w:w="879" w:type="dxa"/>
            <w:vAlign w:val="center"/>
          </w:tcPr>
          <w:p>
            <w:pPr>
              <w:pStyle w:val="16"/>
            </w:pPr>
            <w:r>
              <w:t>非财政    拨款结    转结余</w:t>
            </w:r>
          </w:p>
        </w:tc>
        <w:tc>
          <w:tcPr>
            <w:tcW w:w="87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6" w:hRule="atLeast"/>
          <w:jc w:val="center"/>
        </w:trPr>
        <w:tc>
          <w:tcPr>
            <w:tcW w:w="1541" w:type="dxa"/>
            <w:vAlign w:val="center"/>
          </w:tcPr>
          <w:p>
            <w:pPr>
              <w:pStyle w:val="20"/>
            </w:pPr>
          </w:p>
        </w:tc>
        <w:tc>
          <w:tcPr>
            <w:tcW w:w="874" w:type="dxa"/>
            <w:vAlign w:val="center"/>
          </w:tcPr>
          <w:p>
            <w:pPr>
              <w:pStyle w:val="21"/>
            </w:pPr>
          </w:p>
        </w:tc>
        <w:tc>
          <w:tcPr>
            <w:tcW w:w="1027" w:type="dxa"/>
            <w:vAlign w:val="center"/>
          </w:tcPr>
          <w:p>
            <w:pPr>
              <w:pStyle w:val="22"/>
            </w:pPr>
          </w:p>
        </w:tc>
        <w:tc>
          <w:tcPr>
            <w:tcW w:w="1027" w:type="dxa"/>
            <w:vAlign w:val="center"/>
          </w:tcPr>
          <w:p>
            <w:pPr>
              <w:pStyle w:val="22"/>
            </w:pPr>
          </w:p>
        </w:tc>
        <w:tc>
          <w:tcPr>
            <w:tcW w:w="641" w:type="dxa"/>
            <w:vAlign w:val="center"/>
          </w:tcPr>
          <w:p>
            <w:pPr>
              <w:pStyle w:val="20"/>
            </w:pPr>
          </w:p>
        </w:tc>
        <w:tc>
          <w:tcPr>
            <w:tcW w:w="769" w:type="dxa"/>
            <w:vAlign w:val="center"/>
          </w:tcPr>
          <w:p>
            <w:pPr>
              <w:pStyle w:val="21"/>
            </w:pPr>
          </w:p>
        </w:tc>
        <w:tc>
          <w:tcPr>
            <w:tcW w:w="776"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9" w:type="dxa"/>
            <w:vAlign w:val="center"/>
          </w:tcPr>
          <w:p>
            <w:pPr>
              <w:pStyle w:val="21"/>
            </w:pPr>
          </w:p>
        </w:tc>
        <w:tc>
          <w:tcPr>
            <w:tcW w:w="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6" w:hRule="atLeast"/>
          <w:jc w:val="center"/>
        </w:trPr>
        <w:tc>
          <w:tcPr>
            <w:tcW w:w="1541" w:type="dxa"/>
            <w:vAlign w:val="center"/>
          </w:tcPr>
          <w:p>
            <w:pPr>
              <w:pStyle w:val="20"/>
            </w:pPr>
          </w:p>
        </w:tc>
        <w:tc>
          <w:tcPr>
            <w:tcW w:w="874" w:type="dxa"/>
            <w:vAlign w:val="center"/>
          </w:tcPr>
          <w:p>
            <w:pPr>
              <w:pStyle w:val="21"/>
            </w:pPr>
          </w:p>
        </w:tc>
        <w:tc>
          <w:tcPr>
            <w:tcW w:w="1027" w:type="dxa"/>
            <w:vAlign w:val="center"/>
          </w:tcPr>
          <w:p>
            <w:pPr>
              <w:pStyle w:val="22"/>
            </w:pPr>
          </w:p>
        </w:tc>
        <w:tc>
          <w:tcPr>
            <w:tcW w:w="1027" w:type="dxa"/>
            <w:vAlign w:val="center"/>
          </w:tcPr>
          <w:p>
            <w:pPr>
              <w:pStyle w:val="22"/>
            </w:pPr>
          </w:p>
        </w:tc>
        <w:tc>
          <w:tcPr>
            <w:tcW w:w="641" w:type="dxa"/>
            <w:vAlign w:val="center"/>
          </w:tcPr>
          <w:p>
            <w:pPr>
              <w:pStyle w:val="20"/>
            </w:pPr>
          </w:p>
        </w:tc>
        <w:tc>
          <w:tcPr>
            <w:tcW w:w="769" w:type="dxa"/>
            <w:vAlign w:val="center"/>
          </w:tcPr>
          <w:p>
            <w:pPr>
              <w:pStyle w:val="21"/>
            </w:pPr>
          </w:p>
        </w:tc>
        <w:tc>
          <w:tcPr>
            <w:tcW w:w="776"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9" w:type="dxa"/>
            <w:vAlign w:val="center"/>
          </w:tcPr>
          <w:p>
            <w:pPr>
              <w:pStyle w:val="21"/>
            </w:pPr>
          </w:p>
        </w:tc>
        <w:tc>
          <w:tcPr>
            <w:tcW w:w="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6" w:hRule="atLeast"/>
          <w:jc w:val="center"/>
        </w:trPr>
        <w:tc>
          <w:tcPr>
            <w:tcW w:w="1541" w:type="dxa"/>
            <w:vAlign w:val="center"/>
          </w:tcPr>
          <w:p>
            <w:pPr>
              <w:pStyle w:val="18"/>
            </w:pPr>
          </w:p>
        </w:tc>
        <w:tc>
          <w:tcPr>
            <w:tcW w:w="874" w:type="dxa"/>
            <w:vAlign w:val="center"/>
          </w:tcPr>
          <w:p>
            <w:pPr>
              <w:pStyle w:val="17"/>
            </w:pPr>
          </w:p>
        </w:tc>
        <w:tc>
          <w:tcPr>
            <w:tcW w:w="1027" w:type="dxa"/>
            <w:vAlign w:val="center"/>
          </w:tcPr>
          <w:p>
            <w:pPr>
              <w:pStyle w:val="18"/>
            </w:pPr>
          </w:p>
        </w:tc>
        <w:tc>
          <w:tcPr>
            <w:tcW w:w="1027" w:type="dxa"/>
            <w:vAlign w:val="center"/>
          </w:tcPr>
          <w:p>
            <w:pPr>
              <w:pStyle w:val="18"/>
            </w:pPr>
          </w:p>
        </w:tc>
        <w:tc>
          <w:tcPr>
            <w:tcW w:w="641" w:type="dxa"/>
            <w:vAlign w:val="center"/>
          </w:tcPr>
          <w:p>
            <w:pPr>
              <w:pStyle w:val="19"/>
            </w:pPr>
          </w:p>
        </w:tc>
        <w:tc>
          <w:tcPr>
            <w:tcW w:w="769" w:type="dxa"/>
            <w:vAlign w:val="center"/>
          </w:tcPr>
          <w:p>
            <w:pPr>
              <w:pStyle w:val="17"/>
            </w:pPr>
          </w:p>
        </w:tc>
        <w:tc>
          <w:tcPr>
            <w:tcW w:w="776" w:type="dxa"/>
            <w:vAlign w:val="center"/>
          </w:tcPr>
          <w:p>
            <w:pPr>
              <w:pStyle w:val="17"/>
            </w:pPr>
          </w:p>
        </w:tc>
        <w:tc>
          <w:tcPr>
            <w:tcW w:w="873" w:type="dxa"/>
            <w:vAlign w:val="center"/>
          </w:tcPr>
          <w:p>
            <w:pPr>
              <w:pStyle w:val="17"/>
            </w:pPr>
          </w:p>
        </w:tc>
        <w:tc>
          <w:tcPr>
            <w:tcW w:w="873" w:type="dxa"/>
            <w:vAlign w:val="center"/>
          </w:tcPr>
          <w:p>
            <w:pPr>
              <w:pStyle w:val="17"/>
            </w:pPr>
          </w:p>
        </w:tc>
        <w:tc>
          <w:tcPr>
            <w:tcW w:w="873" w:type="dxa"/>
            <w:vAlign w:val="center"/>
          </w:tcPr>
          <w:p>
            <w:pPr>
              <w:pStyle w:val="17"/>
            </w:pPr>
          </w:p>
        </w:tc>
        <w:tc>
          <w:tcPr>
            <w:tcW w:w="873" w:type="dxa"/>
            <w:vAlign w:val="center"/>
          </w:tcPr>
          <w:p>
            <w:pPr>
              <w:pStyle w:val="17"/>
            </w:pPr>
          </w:p>
        </w:tc>
        <w:tc>
          <w:tcPr>
            <w:tcW w:w="873" w:type="dxa"/>
            <w:vAlign w:val="center"/>
          </w:tcPr>
          <w:p>
            <w:pPr>
              <w:pStyle w:val="17"/>
            </w:pPr>
          </w:p>
        </w:tc>
        <w:tc>
          <w:tcPr>
            <w:tcW w:w="873" w:type="dxa"/>
            <w:vAlign w:val="center"/>
          </w:tcPr>
          <w:p>
            <w:pPr>
              <w:pStyle w:val="17"/>
            </w:pPr>
          </w:p>
        </w:tc>
        <w:tc>
          <w:tcPr>
            <w:tcW w:w="873" w:type="dxa"/>
            <w:vAlign w:val="center"/>
          </w:tcPr>
          <w:p>
            <w:pPr>
              <w:pStyle w:val="17"/>
            </w:pPr>
          </w:p>
        </w:tc>
        <w:tc>
          <w:tcPr>
            <w:tcW w:w="879" w:type="dxa"/>
            <w:vAlign w:val="center"/>
          </w:tcPr>
          <w:p>
            <w:pPr>
              <w:pStyle w:val="17"/>
            </w:pPr>
          </w:p>
        </w:tc>
        <w:tc>
          <w:tcPr>
            <w:tcW w:w="874" w:type="dxa"/>
            <w:vAlign w:val="center"/>
          </w:tcPr>
          <w:p>
            <w:pPr>
              <w:pStyle w:val="17"/>
            </w:pPr>
          </w:p>
        </w:tc>
      </w:tr>
    </w:tbl>
    <w:p>
      <w:pPr>
        <w:spacing w:line="500" w:lineRule="exact"/>
        <w:ind w:firstLine="420"/>
        <w:rPr>
          <w:rFonts w:hint="eastAsia" w:eastAsia="方正书宋_GBK"/>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无政府采购预算，空表列示。</w:t>
      </w:r>
    </w:p>
    <w:p>
      <w:pPr>
        <w:ind w:firstLine="640"/>
      </w:pPr>
      <w:r>
        <w:rPr>
          <w:rFonts w:eastAsia="方正仿宋_GBK"/>
          <w:color w:val="000000"/>
          <w:sz w:val="32"/>
        </w:rPr>
        <w:t xml:space="preserve"> </w:t>
      </w:r>
    </w:p>
    <w:p>
      <w:pPr>
        <w:spacing w:before="10" w:after="10"/>
        <w:outlineLvl w:val="2"/>
        <w:rPr>
          <w:rFonts w:ascii="黑体" w:hAnsi="黑体" w:eastAsia="黑体" w:cs="黑体"/>
          <w:color w:val="000000"/>
          <w:sz w:val="32"/>
        </w:rPr>
      </w:pPr>
      <w:bookmarkStart w:id="1" w:name="_Toc_3_3_0000000016"/>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pPr>
      <w:r>
        <w:rPr>
          <w:rFonts w:ascii="黑体" w:hAnsi="黑体" w:eastAsia="黑体" w:cs="黑体"/>
          <w:color w:val="000000"/>
          <w:sz w:val="32"/>
        </w:rPr>
        <w:t>七、国有资产信息</w:t>
      </w:r>
      <w:bookmarkEnd w:id="1"/>
    </w:p>
    <w:p>
      <w:pPr>
        <w:spacing w:line="500" w:lineRule="exact"/>
        <w:ind w:firstLine="560"/>
      </w:pPr>
      <w:r>
        <w:rPr>
          <w:rFonts w:hint="eastAsia" w:eastAsia="方正仿宋_GBK"/>
          <w:color w:val="000000"/>
          <w:sz w:val="28"/>
          <w:lang w:eastAsia="zh-CN"/>
        </w:rPr>
        <w:t>涞水县胡家庄乡人民政府</w:t>
      </w:r>
      <w:r>
        <w:rPr>
          <w:rFonts w:eastAsia="方正仿宋_GBK"/>
          <w:color w:val="000000"/>
          <w:sz w:val="28"/>
        </w:rPr>
        <w:t>（含所属单位）上年末固定资产金额为</w:t>
      </w:r>
      <w:r>
        <w:rPr>
          <w:rFonts w:hint="eastAsia" w:eastAsia="方正仿宋_GBK"/>
          <w:color w:val="000000"/>
          <w:sz w:val="28"/>
          <w:lang w:val="en-US" w:eastAsia="zh-CN"/>
        </w:rPr>
        <w:t>98.48</w:t>
      </w:r>
      <w:r>
        <w:rPr>
          <w:rFonts w:eastAsia="方正仿宋_GBK"/>
          <w:color w:val="000000"/>
          <w:sz w:val="28"/>
        </w:rPr>
        <w:t>万元（详见下表）。本年度</w:t>
      </w:r>
      <w:r>
        <w:rPr>
          <w:rFonts w:hint="eastAsia" w:eastAsia="方正仿宋_GBK"/>
          <w:color w:val="000000"/>
          <w:sz w:val="28"/>
          <w:lang w:eastAsia="zh-CN"/>
        </w:rPr>
        <w:t>无固定资产购置计划。</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spacing w:line="500" w:lineRule="exact"/>
        <w:ind w:firstLine="1050" w:firstLineChars="500"/>
        <w:rPr>
          <w:rFonts w:hint="default" w:eastAsia="方正仿宋_GBK"/>
          <w:color w:val="000000"/>
          <w:sz w:val="28"/>
          <w:lang w:val="en-US" w:eastAsia="zh-CN"/>
        </w:rPr>
      </w:pPr>
      <w:r>
        <w:rPr>
          <w:rFonts w:hint="eastAsia" w:eastAsia="方正仿宋_GBK"/>
          <w:color w:val="000000"/>
          <w:sz w:val="21"/>
          <w:szCs w:val="21"/>
          <w:lang w:eastAsia="zh-CN"/>
        </w:rPr>
        <w:t>涞水县胡家庄乡人民政府本级</w:t>
      </w:r>
      <w:r>
        <w:rPr>
          <w:rFonts w:hint="eastAsia" w:eastAsia="方正仿宋_GBK"/>
          <w:color w:val="000000"/>
          <w:sz w:val="21"/>
          <w:szCs w:val="21"/>
          <w:lang w:val="en-US" w:eastAsia="zh-CN"/>
        </w:rPr>
        <w:t xml:space="preserve">                                                                                                                                  截止时间：2023</w:t>
      </w:r>
      <w:bookmarkStart w:id="2" w:name="_GoBack"/>
      <w:bookmarkEnd w:id="2"/>
      <w:r>
        <w:rPr>
          <w:rFonts w:hint="eastAsia" w:eastAsia="方正仿宋_GBK"/>
          <w:color w:val="000000"/>
          <w:sz w:val="21"/>
          <w:szCs w:val="21"/>
          <w:lang w:val="en-US" w:eastAsia="zh-CN"/>
        </w:rPr>
        <w:t>-12-31</w:t>
      </w:r>
    </w:p>
    <w:tbl>
      <w:tblPr>
        <w:tblStyle w:val="9"/>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6"/>
            </w:pPr>
            <w:r>
              <w:rPr>
                <w:rFonts w:hint="eastAsia"/>
                <w:lang w:val="en-US" w:eastAsia="zh-CN"/>
              </w:rPr>
              <w:t xml:space="preserve">  </w:t>
            </w:r>
            <w:r>
              <w:rPr>
                <w:rFonts w:hint="eastAsia"/>
              </w:rPr>
              <w:t>项  目</w:t>
            </w:r>
          </w:p>
        </w:tc>
        <w:tc>
          <w:tcPr>
            <w:tcW w:w="2835" w:type="dxa"/>
            <w:tcBorders>
              <w:top w:val="single" w:color="auto" w:sz="4" w:space="0"/>
              <w:left w:val="nil"/>
              <w:bottom w:val="nil"/>
              <w:right w:val="single" w:color="auto" w:sz="4" w:space="0"/>
            </w:tcBorders>
            <w:vAlign w:val="center"/>
          </w:tcPr>
          <w:p>
            <w:pPr>
              <w:pStyle w:val="16"/>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6"/>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 xml:space="preserve">   固定资产总额</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ascii="Calibri" w:hAnsi="Calibri" w:cs="宋体"/>
                <w:kern w:val="2"/>
                <w:sz w:val="21"/>
                <w:szCs w:val="21"/>
                <w:lang w:val="en-US" w:eastAsia="zh-CN"/>
              </w:rPr>
              <w:t>98.48</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lang w:val="en-US" w:eastAsia="uk-UA" w:bidi="ar-SA"/>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bidi="ar-SA"/>
              </w:rPr>
            </w:pPr>
            <w:r>
              <w:rPr>
                <w:rFonts w:hint="eastAsia" w:ascii="宋体" w:hAnsi="宋体"/>
                <w:color w:val="000000"/>
                <w:sz w:val="21"/>
                <w:szCs w:val="21"/>
                <w:lang w:val="en-US" w:eastAsia="zh-CN"/>
              </w:rPr>
              <w:t>1148</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bidi="ar-SA"/>
              </w:rPr>
            </w:pPr>
            <w:r>
              <w:rPr>
                <w:rFonts w:hint="eastAsia" w:ascii="宋体" w:hAnsi="宋体"/>
                <w:color w:val="000000"/>
                <w:sz w:val="21"/>
                <w:szCs w:val="21"/>
                <w:lang w:val="en-US" w:eastAsia="zh-CN"/>
              </w:rPr>
              <w:t>72.50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lang w:val="en-US" w:eastAsia="uk-UA" w:bidi="ar-SA"/>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val="en-US" w:eastAsia="zh-CN" w:bidi="ar-SA"/>
              </w:rPr>
            </w:pPr>
            <w:r>
              <w:rPr>
                <w:rFonts w:hint="eastAsia" w:ascii="宋体" w:hAnsi="宋体" w:eastAsiaTheme="minorEastAsia"/>
                <w:color w:val="000000"/>
                <w:sz w:val="21"/>
                <w:szCs w:val="21"/>
                <w:lang w:eastAsia="zh-CN"/>
              </w:rPr>
              <w:t>1</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bidi="ar-SA"/>
              </w:rPr>
            </w:pPr>
            <w:r>
              <w:rPr>
                <w:rFonts w:hint="eastAsia" w:ascii="宋体" w:hAnsi="宋体" w:eastAsiaTheme="minorEastAsia"/>
                <w:color w:val="000000"/>
                <w:sz w:val="21"/>
                <w:szCs w:val="21"/>
                <w:lang w:val="en-US" w:eastAsia="zh-CN"/>
              </w:rPr>
              <w:t>12</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val="en-US" w:eastAsia="uk-UA" w:bidi="ar-SA"/>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lang w:val="en-US" w:eastAsia="uk-UA" w:bidi="ar-SA"/>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rPr>
              <w:t>13.98</w:t>
            </w:r>
          </w:p>
        </w:tc>
      </w:tr>
    </w:tbl>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rPr>
      </w:pPr>
    </w:p>
    <w:p>
      <w:pPr>
        <w:spacing w:before="10" w:after="1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pStyle w:val="4"/>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BEH87s&#10;AQAA1QMAAA4AAAAAAAAAAQAgAAAAHgEAAGRycy9lMm9Eb2MueG1sUEsFBgAAAAAGAAYAWQEAAHwF&#10;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F1C289"/>
    <w:multiLevelType w:val="singleLevel"/>
    <w:tmpl w:val="D9F1C289"/>
    <w:lvl w:ilvl="0" w:tentative="0">
      <w:start w:val="10"/>
      <w:numFmt w:val="decimal"/>
      <w:suff w:val="nothing"/>
      <w:lvlText w:val="%1、"/>
      <w:lvlJc w:val="left"/>
    </w:lvl>
  </w:abstractNum>
  <w:abstractNum w:abstractNumId="1">
    <w:nsid w:val="3A8E4728"/>
    <w:multiLevelType w:val="singleLevel"/>
    <w:tmpl w:val="3A8E4728"/>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2ODg3YTdmNTRjN2RhNTdjNDdiNjcxZDg5OWY0NzgifQ=="/>
  </w:docVars>
  <w:rsids>
    <w:rsidRoot w:val="00781D3A"/>
    <w:rsid w:val="00064159"/>
    <w:rsid w:val="00120163"/>
    <w:rsid w:val="00182D82"/>
    <w:rsid w:val="001B15F6"/>
    <w:rsid w:val="00201266"/>
    <w:rsid w:val="004A692B"/>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3AB1B08"/>
    <w:rsid w:val="052B4646"/>
    <w:rsid w:val="05466D78"/>
    <w:rsid w:val="060108CB"/>
    <w:rsid w:val="10D1007D"/>
    <w:rsid w:val="12B86E70"/>
    <w:rsid w:val="14B96F9F"/>
    <w:rsid w:val="158F5031"/>
    <w:rsid w:val="16204738"/>
    <w:rsid w:val="1AE063EE"/>
    <w:rsid w:val="1B7A032D"/>
    <w:rsid w:val="20E92B59"/>
    <w:rsid w:val="21F13F06"/>
    <w:rsid w:val="22090B6C"/>
    <w:rsid w:val="267C2AD7"/>
    <w:rsid w:val="279D013C"/>
    <w:rsid w:val="28C26B2C"/>
    <w:rsid w:val="28F10CB3"/>
    <w:rsid w:val="2B0B2850"/>
    <w:rsid w:val="303F5CC1"/>
    <w:rsid w:val="309D49DC"/>
    <w:rsid w:val="330E2D4E"/>
    <w:rsid w:val="33E60977"/>
    <w:rsid w:val="35EF7071"/>
    <w:rsid w:val="391B70EA"/>
    <w:rsid w:val="3A4B0C5C"/>
    <w:rsid w:val="3B8F458E"/>
    <w:rsid w:val="3CC66316"/>
    <w:rsid w:val="3EDC4318"/>
    <w:rsid w:val="3F033BBB"/>
    <w:rsid w:val="3F6F4CEE"/>
    <w:rsid w:val="44175780"/>
    <w:rsid w:val="47A13B2D"/>
    <w:rsid w:val="48390A7E"/>
    <w:rsid w:val="4B3B20A7"/>
    <w:rsid w:val="4D211275"/>
    <w:rsid w:val="539404AE"/>
    <w:rsid w:val="550E11EB"/>
    <w:rsid w:val="562A7E7A"/>
    <w:rsid w:val="57C02F50"/>
    <w:rsid w:val="5C720816"/>
    <w:rsid w:val="5E472D4C"/>
    <w:rsid w:val="5F36183A"/>
    <w:rsid w:val="5F5544C0"/>
    <w:rsid w:val="617B055D"/>
    <w:rsid w:val="61B05593"/>
    <w:rsid w:val="65BA6F8D"/>
    <w:rsid w:val="6FE5312D"/>
    <w:rsid w:val="718B17B6"/>
    <w:rsid w:val="73647B06"/>
    <w:rsid w:val="74745854"/>
    <w:rsid w:val="763D3C1F"/>
    <w:rsid w:val="781B010E"/>
    <w:rsid w:val="78A4526E"/>
    <w:rsid w:val="7A26319A"/>
    <w:rsid w:val="7B5B65BE"/>
    <w:rsid w:val="7B61375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Plain Text"/>
    <w:basedOn w:val="1"/>
    <w:qFormat/>
    <w:uiPriority w:val="0"/>
    <w:rPr>
      <w:rFonts w:ascii="宋体" w:hAnsi="Courier New" w:cs="Courier New"/>
      <w:szCs w:val="21"/>
    </w:rPr>
  </w:style>
  <w:style w:type="paragraph" w:styleId="4">
    <w:name w:val="footer"/>
    <w:basedOn w:val="1"/>
    <w:link w:val="36"/>
    <w:qFormat/>
    <w:uiPriority w:val="99"/>
    <w:pPr>
      <w:tabs>
        <w:tab w:val="center" w:pos="4153"/>
        <w:tab w:val="right" w:pos="8306"/>
      </w:tabs>
      <w:snapToGrid w:val="0"/>
    </w:pPr>
    <w:rPr>
      <w:sz w:val="18"/>
      <w:szCs w:val="18"/>
    </w:rPr>
  </w:style>
  <w:style w:type="paragraph" w:styleId="5">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99"/>
    <w:pPr>
      <w:spacing w:before="120"/>
      <w:ind w:firstLine="560"/>
    </w:pPr>
    <w:rPr>
      <w:rFonts w:eastAsia="方正仿宋_GBK"/>
      <w:color w:val="000000"/>
      <w:sz w:val="28"/>
    </w:rPr>
  </w:style>
  <w:style w:type="paragraph" w:styleId="7">
    <w:name w:val="toc 4"/>
    <w:basedOn w:val="1"/>
    <w:next w:val="1"/>
    <w:qFormat/>
    <w:uiPriority w:val="99"/>
    <w:pPr>
      <w:ind w:left="720"/>
    </w:pPr>
  </w:style>
  <w:style w:type="paragraph" w:styleId="8">
    <w:name w:val="toc 2"/>
    <w:basedOn w:val="1"/>
    <w:next w:val="1"/>
    <w:qFormat/>
    <w:uiPriority w:val="99"/>
    <w:pPr>
      <w:ind w:left="240"/>
    </w:p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1"/>
    <w:link w:val="5"/>
    <w:qFormat/>
    <w:locked/>
    <w:uiPriority w:val="99"/>
    <w:rPr>
      <w:rFonts w:eastAsia="Times New Roman" w:cs="Times New Roman"/>
      <w:sz w:val="18"/>
      <w:szCs w:val="18"/>
      <w:lang w:eastAsia="uk-UA"/>
    </w:rPr>
  </w:style>
  <w:style w:type="character" w:customStyle="1" w:styleId="36">
    <w:name w:val="页脚 Char"/>
    <w:basedOn w:val="11"/>
    <w:link w:val="4"/>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39</Pages>
  <Words>12885</Words>
  <Characters>15249</Characters>
  <Lines>127</Lines>
  <Paragraphs>36</Paragraphs>
  <TotalTime>24</TotalTime>
  <ScaleCrop>false</ScaleCrop>
  <LinksUpToDate>false</LinksUpToDate>
  <CharactersWithSpaces>19182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Administrator</cp:lastModifiedBy>
  <dcterms:modified xsi:type="dcterms:W3CDTF">2024-01-31T07:16:21Z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46ED276FE4EF4CE3A3626E9D681ADC56</vt:lpwstr>
  </property>
</Properties>
</file>