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val="en-US" w:eastAsia="zh-CN"/>
        </w:rPr>
        <w:t>中共涞水县委机构编制委员会办公室</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7"/>
        <w:tabs>
          <w:tab w:val="right" w:leader="dot" w:pos="14800"/>
        </w:tabs>
      </w:pPr>
      <w:r>
        <w:fldChar w:fldCharType="begin"/>
      </w:r>
      <w:r>
        <w:instrText xml:space="preserve">TOC \o "2-2" \h \z \u</w:instrText>
      </w:r>
      <w:r>
        <w:fldChar w:fldCharType="separate"/>
      </w:r>
      <w:r>
        <w:fldChar w:fldCharType="begin"/>
      </w:r>
      <w:r>
        <w:instrText xml:space="preserve"> HYPERLINK \l _Toc16794 </w:instrText>
      </w:r>
      <w:r>
        <w:fldChar w:fldCharType="separate"/>
      </w:r>
      <w:r>
        <w:rPr>
          <w:rFonts w:ascii="方正小标宋_GBK" w:hAnsi="方正小标宋_GBK" w:eastAsia="方正小标宋_GBK" w:cs="方正小标宋_GBK"/>
        </w:rPr>
        <w:t>部门预算收支总表</w:t>
      </w:r>
      <w:r>
        <w:tab/>
      </w:r>
      <w:r>
        <w:fldChar w:fldCharType="begin"/>
      </w:r>
      <w:r>
        <w:instrText xml:space="preserve"> PAGEREF _Toc16794 \h </w:instrText>
      </w:r>
      <w:r>
        <w:fldChar w:fldCharType="separate"/>
      </w:r>
      <w:r>
        <w:t>2</w:t>
      </w:r>
      <w:r>
        <w:fldChar w:fldCharType="end"/>
      </w:r>
      <w:r>
        <w:fldChar w:fldCharType="end"/>
      </w:r>
    </w:p>
    <w:p>
      <w:pPr>
        <w:pStyle w:val="7"/>
        <w:tabs>
          <w:tab w:val="right" w:leader="dot" w:pos="14800"/>
        </w:tabs>
      </w:pPr>
      <w:r>
        <w:fldChar w:fldCharType="begin"/>
      </w:r>
      <w:r>
        <w:instrText xml:space="preserve"> HYPERLINK \l _Toc30438 </w:instrText>
      </w:r>
      <w:r>
        <w:fldChar w:fldCharType="separate"/>
      </w:r>
      <w:r>
        <w:rPr>
          <w:rFonts w:ascii="方正小标宋_GBK" w:hAnsi="方正小标宋_GBK" w:eastAsia="方正小标宋_GBK" w:cs="方正小标宋_GBK"/>
        </w:rPr>
        <w:t>部门预算收入总表</w:t>
      </w:r>
      <w:r>
        <w:tab/>
      </w:r>
      <w:r>
        <w:fldChar w:fldCharType="begin"/>
      </w:r>
      <w:r>
        <w:instrText xml:space="preserve"> PAGEREF _Toc30438 \h </w:instrText>
      </w:r>
      <w:r>
        <w:fldChar w:fldCharType="separate"/>
      </w:r>
      <w:r>
        <w:t>4</w:t>
      </w:r>
      <w:r>
        <w:fldChar w:fldCharType="end"/>
      </w:r>
      <w:r>
        <w:fldChar w:fldCharType="end"/>
      </w:r>
    </w:p>
    <w:p>
      <w:pPr>
        <w:pStyle w:val="7"/>
        <w:tabs>
          <w:tab w:val="right" w:leader="dot" w:pos="14800"/>
        </w:tabs>
      </w:pPr>
      <w:r>
        <w:fldChar w:fldCharType="begin"/>
      </w:r>
      <w:r>
        <w:instrText xml:space="preserve"> HYPERLINK \l _Toc15519 </w:instrText>
      </w:r>
      <w:r>
        <w:fldChar w:fldCharType="separate"/>
      </w:r>
      <w:r>
        <w:rPr>
          <w:rFonts w:ascii="方正小标宋_GBK" w:hAnsi="方正小标宋_GBK" w:eastAsia="方正小标宋_GBK" w:cs="方正小标宋_GBK"/>
        </w:rPr>
        <w:t>部门预算支出总表</w:t>
      </w:r>
      <w:r>
        <w:tab/>
      </w:r>
      <w:r>
        <w:fldChar w:fldCharType="begin"/>
      </w:r>
      <w:r>
        <w:instrText xml:space="preserve"> PAGEREF _Toc15519 \h </w:instrText>
      </w:r>
      <w:r>
        <w:fldChar w:fldCharType="separate"/>
      </w:r>
      <w:r>
        <w:t>5</w:t>
      </w:r>
      <w:r>
        <w:fldChar w:fldCharType="end"/>
      </w:r>
      <w:r>
        <w:fldChar w:fldCharType="end"/>
      </w:r>
    </w:p>
    <w:p>
      <w:pPr>
        <w:pStyle w:val="7"/>
        <w:tabs>
          <w:tab w:val="right" w:leader="dot" w:pos="14800"/>
        </w:tabs>
      </w:pPr>
      <w:r>
        <w:fldChar w:fldCharType="begin"/>
      </w:r>
      <w:r>
        <w:instrText xml:space="preserve"> HYPERLINK \l _Toc20299 </w:instrText>
      </w:r>
      <w:r>
        <w:fldChar w:fldCharType="separate"/>
      </w:r>
      <w:r>
        <w:rPr>
          <w:rFonts w:ascii="方正小标宋_GBK" w:hAnsi="方正小标宋_GBK" w:eastAsia="方正小标宋_GBK" w:cs="方正小标宋_GBK"/>
        </w:rPr>
        <w:t>部门预算财政拨款收支总表</w:t>
      </w:r>
      <w:r>
        <w:tab/>
      </w:r>
      <w:r>
        <w:fldChar w:fldCharType="begin"/>
      </w:r>
      <w:r>
        <w:instrText xml:space="preserve"> PAGEREF _Toc20299 \h </w:instrText>
      </w:r>
      <w:r>
        <w:fldChar w:fldCharType="separate"/>
      </w:r>
      <w:r>
        <w:t>6</w:t>
      </w:r>
      <w:r>
        <w:fldChar w:fldCharType="end"/>
      </w:r>
      <w:r>
        <w:fldChar w:fldCharType="end"/>
      </w:r>
    </w:p>
    <w:p>
      <w:pPr>
        <w:pStyle w:val="7"/>
        <w:tabs>
          <w:tab w:val="right" w:leader="dot" w:pos="14800"/>
        </w:tabs>
      </w:pPr>
      <w:r>
        <w:fldChar w:fldCharType="begin"/>
      </w:r>
      <w:r>
        <w:instrText xml:space="preserve"> HYPERLINK \l _Toc28080 </w:instrText>
      </w:r>
      <w:r>
        <w:fldChar w:fldCharType="separate"/>
      </w:r>
      <w:r>
        <w:rPr>
          <w:rFonts w:ascii="方正小标宋_GBK" w:hAnsi="方正小标宋_GBK" w:eastAsia="方正小标宋_GBK" w:cs="方正小标宋_GBK"/>
        </w:rPr>
        <w:t>部门预算一般公共预算财政拨款支出表</w:t>
      </w:r>
      <w:r>
        <w:tab/>
      </w:r>
      <w:r>
        <w:fldChar w:fldCharType="begin"/>
      </w:r>
      <w:r>
        <w:instrText xml:space="preserve"> PAGEREF _Toc28080 \h </w:instrText>
      </w:r>
      <w:r>
        <w:fldChar w:fldCharType="separate"/>
      </w:r>
      <w:r>
        <w:t>8</w:t>
      </w:r>
      <w:r>
        <w:fldChar w:fldCharType="end"/>
      </w:r>
      <w:r>
        <w:fldChar w:fldCharType="end"/>
      </w:r>
    </w:p>
    <w:p>
      <w:pPr>
        <w:pStyle w:val="7"/>
        <w:tabs>
          <w:tab w:val="right" w:leader="dot" w:pos="14800"/>
        </w:tabs>
      </w:pPr>
      <w:r>
        <w:fldChar w:fldCharType="begin"/>
      </w:r>
      <w:r>
        <w:instrText xml:space="preserve"> HYPERLINK \l _Toc18807 </w:instrText>
      </w:r>
      <w:r>
        <w:fldChar w:fldCharType="separate"/>
      </w:r>
      <w:r>
        <w:rPr>
          <w:rFonts w:ascii="方正小标宋_GBK" w:hAnsi="方正小标宋_GBK" w:eastAsia="方正小标宋_GBK" w:cs="方正小标宋_GBK"/>
        </w:rPr>
        <w:t>部门预算一般公共预算财政拨款基本支出表</w:t>
      </w:r>
      <w:r>
        <w:tab/>
      </w:r>
      <w:r>
        <w:fldChar w:fldCharType="begin"/>
      </w:r>
      <w:r>
        <w:instrText xml:space="preserve"> PAGEREF _Toc18807 \h </w:instrText>
      </w:r>
      <w:r>
        <w:fldChar w:fldCharType="separate"/>
      </w:r>
      <w:r>
        <w:t>9</w:t>
      </w:r>
      <w:r>
        <w:fldChar w:fldCharType="end"/>
      </w:r>
      <w:r>
        <w:fldChar w:fldCharType="end"/>
      </w:r>
    </w:p>
    <w:p>
      <w:pPr>
        <w:pStyle w:val="7"/>
        <w:tabs>
          <w:tab w:val="right" w:leader="dot" w:pos="14800"/>
        </w:tabs>
      </w:pPr>
      <w:r>
        <w:fldChar w:fldCharType="begin"/>
      </w:r>
      <w:r>
        <w:instrText xml:space="preserve"> HYPERLINK \l _Toc8880 </w:instrText>
      </w:r>
      <w:r>
        <w:fldChar w:fldCharType="separate"/>
      </w:r>
      <w:r>
        <w:rPr>
          <w:rFonts w:ascii="方正小标宋_GBK" w:hAnsi="方正小标宋_GBK" w:eastAsia="方正小标宋_GBK" w:cs="方正小标宋_GBK"/>
        </w:rPr>
        <w:t>部门预算政府基金预算财政拨款支出表</w:t>
      </w:r>
      <w:r>
        <w:tab/>
      </w:r>
      <w:r>
        <w:fldChar w:fldCharType="begin"/>
      </w:r>
      <w:r>
        <w:instrText xml:space="preserve"> PAGEREF _Toc8880 \h </w:instrText>
      </w:r>
      <w:r>
        <w:fldChar w:fldCharType="separate"/>
      </w:r>
      <w:r>
        <w:t>10</w:t>
      </w:r>
      <w:r>
        <w:fldChar w:fldCharType="end"/>
      </w:r>
      <w:r>
        <w:fldChar w:fldCharType="end"/>
      </w:r>
    </w:p>
    <w:p>
      <w:pPr>
        <w:pStyle w:val="7"/>
        <w:tabs>
          <w:tab w:val="right" w:leader="dot" w:pos="14800"/>
        </w:tabs>
      </w:pPr>
      <w:r>
        <w:fldChar w:fldCharType="begin"/>
      </w:r>
      <w:r>
        <w:instrText xml:space="preserve"> HYPERLINK \l _Toc23817 </w:instrText>
      </w:r>
      <w:r>
        <w:fldChar w:fldCharType="separate"/>
      </w:r>
      <w:r>
        <w:rPr>
          <w:rFonts w:ascii="方正小标宋_GBK" w:hAnsi="方正小标宋_GBK" w:eastAsia="方正小标宋_GBK" w:cs="方正小标宋_GBK"/>
        </w:rPr>
        <w:t>部门预算国有资本经营预算财政拨款支出表</w:t>
      </w:r>
      <w:r>
        <w:tab/>
      </w:r>
      <w:r>
        <w:fldChar w:fldCharType="begin"/>
      </w:r>
      <w:r>
        <w:instrText xml:space="preserve"> PAGEREF _Toc23817 \h </w:instrText>
      </w:r>
      <w:r>
        <w:fldChar w:fldCharType="separate"/>
      </w:r>
      <w:r>
        <w:t>11</w:t>
      </w:r>
      <w:r>
        <w:fldChar w:fldCharType="end"/>
      </w:r>
      <w:r>
        <w:fldChar w:fldCharType="end"/>
      </w:r>
    </w:p>
    <w:p>
      <w:pPr>
        <w:pStyle w:val="7"/>
        <w:tabs>
          <w:tab w:val="right" w:leader="dot" w:pos="14800"/>
        </w:tabs>
      </w:pPr>
      <w:r>
        <w:fldChar w:fldCharType="begin"/>
      </w:r>
      <w:r>
        <w:instrText xml:space="preserve"> HYPERLINK \l _Toc30949 </w:instrText>
      </w:r>
      <w:r>
        <w:fldChar w:fldCharType="separate"/>
      </w:r>
      <w:r>
        <w:rPr>
          <w:rFonts w:ascii="方正小标宋_GBK" w:hAnsi="方正小标宋_GBK" w:eastAsia="方正小标宋_GBK" w:cs="方正小标宋_GBK"/>
        </w:rPr>
        <w:t>部门预算财政拨款“三公”经费支出表</w:t>
      </w:r>
      <w:r>
        <w:tab/>
      </w:r>
      <w:r>
        <w:fldChar w:fldCharType="begin"/>
      </w:r>
      <w:r>
        <w:instrText xml:space="preserve"> PAGEREF _Toc30949 \h </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TOC \o "3-3" \h \z \u</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HYPERLINK \l _Toc9002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一、部门职责及机构设置情况</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_Toc9002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13</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HYPERLINK \l _Toc32461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二、部门预算安排的总体情况</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_Toc32461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15</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HYPERLINK \l _Toc31900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三、机关运行经费安排情况</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_Toc31900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15</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HYPERLINK \l _Toc28600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四、财政拨款“三公”经费预算情况及增减变化原因</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_Toc28600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16</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HYPERLINK \l _Toc13499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五、预算绩效信息</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_Toc13499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16</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HYPERLINK \l _Toc7901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六、政府采购预算情况</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_Toc7901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22</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HYPERLINK \l _Toc14440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七、国有资产信息</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_Toc14440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23</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HYPERLINK \l _Toc6561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八、名词解释</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_Toc6561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24</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HYPERLINK \l _Toc2902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九、其他需要说明的事项</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_Toc2902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24</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end"/>
      </w:r>
    </w:p>
    <w:p>
      <w:pPr>
        <w:pStyle w:val="7"/>
        <w:tabs>
          <w:tab w:val="right" w:leader="dot" w:pos="14800"/>
        </w:tabs>
      </w:pPr>
    </w:p>
    <w:p>
      <w:pPr>
        <w:jc w:val="center"/>
        <w:outlineLvl w:val="1"/>
      </w:pPr>
      <w:bookmarkStart w:id="0" w:name="_Toc16794"/>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hint="default"/>
                <w:lang w:val="en-US"/>
              </w:rPr>
            </w:pPr>
            <w:r>
              <w:t>3</w:t>
            </w:r>
            <w:r>
              <w:rPr>
                <w:rFonts w:hint="eastAsia"/>
                <w:lang w:val="en-US" w:eastAsia="zh-CN"/>
              </w:rPr>
              <w:t>82中共涞水县委机构编制委员会办公室</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107.05</w:t>
            </w:r>
          </w:p>
        </w:tc>
        <w:tc>
          <w:tcPr>
            <w:tcW w:w="4535" w:type="dxa"/>
            <w:vAlign w:val="center"/>
          </w:tcPr>
          <w:p>
            <w:pPr>
              <w:pStyle w:val="17"/>
            </w:pPr>
            <w:r>
              <w:t>一、一般公共服务支出</w:t>
            </w:r>
          </w:p>
        </w:tc>
        <w:tc>
          <w:tcPr>
            <w:tcW w:w="2126" w:type="dxa"/>
            <w:vAlign w:val="center"/>
          </w:tcPr>
          <w:p>
            <w:pPr>
              <w:pStyle w:val="16"/>
              <w:rPr>
                <w:rFonts w:hint="default" w:eastAsia="方正书宋_GBK"/>
                <w:lang w:val="en-US" w:eastAsia="zh-CN"/>
              </w:rPr>
            </w:pPr>
            <w:r>
              <w:rPr>
                <w:rFonts w:hint="eastAsia"/>
                <w:lang w:val="en-US" w:eastAsia="zh-CN"/>
              </w:rPr>
              <w:t>84.04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10.29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eastAsia="方正书宋_GBK"/>
                <w:lang w:val="en-US" w:eastAsia="zh-CN"/>
              </w:rPr>
            </w:pPr>
            <w:r>
              <w:rPr>
                <w:rFonts w:hint="eastAsia"/>
                <w:lang w:val="en-US" w:eastAsia="zh-CN"/>
              </w:rPr>
              <w:t>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20</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二十、住房保障支出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21</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二十一、粮油物资储备支出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22</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二十二、国有资本经营预算支出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23</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二十三、灾害防治及应急管理支出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24</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二十四、预备费</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25</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二十五、其他支出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26</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二十六、转移性支出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27</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二十七、债务还本支出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28</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二十八、债务付息支出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29</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二十九、债务发行费用支出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30</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三十、抗疫特别国债安排的支出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31</w:t>
            </w:r>
          </w:p>
        </w:tc>
        <w:tc>
          <w:tcPr>
            <w:tcW w:w="4536" w:type="dxa"/>
            <w:vAlign w:val="center"/>
          </w:tcPr>
          <w:p>
            <w:pPr>
              <w:pStyle w:val="19"/>
              <w:rPr>
                <w:rFonts w:ascii="方正书宋_GBK" w:hAnsi="方正书宋_GBK" w:eastAsia="方正书宋_GBK" w:cs="方正书宋_GBK"/>
                <w:b/>
                <w:sz w:val="21"/>
                <w:szCs w:val="24"/>
                <w:lang w:val="en-US" w:eastAsia="uk-UA" w:bidi="ar-SA"/>
              </w:rPr>
            </w:pPr>
            <w:r>
              <w:t>本年收入合计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107.05</w:t>
            </w:r>
          </w:p>
        </w:tc>
        <w:tc>
          <w:tcPr>
            <w:tcW w:w="4535" w:type="dxa"/>
            <w:vAlign w:val="center"/>
          </w:tcPr>
          <w:p>
            <w:pPr>
              <w:pStyle w:val="19"/>
              <w:rPr>
                <w:rFonts w:ascii="方正书宋_GBK" w:hAnsi="方正书宋_GBK" w:eastAsia="方正书宋_GBK" w:cs="方正书宋_GBK"/>
                <w:b/>
                <w:sz w:val="21"/>
                <w:szCs w:val="24"/>
                <w:lang w:val="en-US" w:eastAsia="uk-UA" w:bidi="ar-SA"/>
              </w:rPr>
            </w:pPr>
            <w:r>
              <w:t>本年支出合计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107.05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32</w:t>
            </w:r>
          </w:p>
        </w:tc>
        <w:tc>
          <w:tcPr>
            <w:tcW w:w="4536" w:type="dxa"/>
            <w:vAlign w:val="center"/>
          </w:tcPr>
          <w:p>
            <w:pPr>
              <w:pStyle w:val="17"/>
              <w:rPr>
                <w:rFonts w:ascii="方正书宋_GBK" w:hAnsi="方正书宋_GBK" w:eastAsia="方正书宋_GBK" w:cs="方正书宋_GBK"/>
                <w:sz w:val="21"/>
                <w:szCs w:val="24"/>
                <w:lang w:val="en-US" w:eastAsia="uk-UA" w:bidi="ar-SA"/>
              </w:rPr>
            </w:pPr>
            <w:r>
              <w:t>上年结转结余</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年终结转结余</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33</w:t>
            </w:r>
          </w:p>
        </w:tc>
        <w:tc>
          <w:tcPr>
            <w:tcW w:w="4536" w:type="dxa"/>
            <w:vAlign w:val="center"/>
          </w:tcPr>
          <w:p>
            <w:pPr>
              <w:pStyle w:val="19"/>
              <w:rPr>
                <w:rFonts w:ascii="方正书宋_GBK" w:hAnsi="方正书宋_GBK" w:eastAsia="方正书宋_GBK" w:cs="方正书宋_GBK"/>
                <w:b/>
                <w:sz w:val="21"/>
                <w:szCs w:val="24"/>
                <w:lang w:val="en-US" w:eastAsia="uk-UA" w:bidi="ar-SA"/>
              </w:rPr>
            </w:pPr>
            <w:r>
              <w:t>收入总计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107.05</w:t>
            </w:r>
          </w:p>
        </w:tc>
        <w:tc>
          <w:tcPr>
            <w:tcW w:w="4535" w:type="dxa"/>
            <w:vAlign w:val="center"/>
          </w:tcPr>
          <w:p>
            <w:pPr>
              <w:pStyle w:val="19"/>
              <w:rPr>
                <w:rFonts w:ascii="方正书宋_GBK" w:hAnsi="方正书宋_GBK" w:eastAsia="方正书宋_GBK" w:cs="方正书宋_GBK"/>
                <w:b/>
                <w:sz w:val="21"/>
                <w:szCs w:val="24"/>
                <w:lang w:val="en-US" w:eastAsia="uk-UA" w:bidi="ar-SA"/>
              </w:rPr>
            </w:pPr>
            <w:r>
              <w:t>支出总计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107.05</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30438"/>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86"/>
        <w:gridCol w:w="1086"/>
        <w:gridCol w:w="2204"/>
        <w:gridCol w:w="900"/>
        <w:gridCol w:w="935"/>
        <w:gridCol w:w="922"/>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71" w:type="dxa"/>
            <w:gridSpan w:val="1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 xml:space="preserve">82001中共涞水县委机构编制委员会办公室（本级）        </w:t>
            </w:r>
            <w:r>
              <w:t>预算年度：202</w:t>
            </w:r>
            <w:r>
              <w:rPr>
                <w:rFonts w:hint="eastAsia"/>
                <w:lang w:val="en-US" w:eastAsia="zh-CN"/>
              </w:rPr>
              <w:t xml:space="preserve">4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Merge w:val="restart"/>
            <w:vAlign w:val="center"/>
          </w:tcPr>
          <w:p>
            <w:pPr>
              <w:pStyle w:val="15"/>
            </w:pPr>
            <w:r>
              <w:t>序号</w:t>
            </w:r>
          </w:p>
        </w:tc>
        <w:tc>
          <w:tcPr>
            <w:tcW w:w="3290" w:type="dxa"/>
            <w:gridSpan w:val="2"/>
            <w:vAlign w:val="center"/>
          </w:tcPr>
          <w:p>
            <w:pPr>
              <w:pStyle w:val="15"/>
            </w:pPr>
            <w:r>
              <w:t>功能分类科目</w:t>
            </w:r>
          </w:p>
        </w:tc>
        <w:tc>
          <w:tcPr>
            <w:tcW w:w="900" w:type="dxa"/>
            <w:vMerge w:val="restart"/>
            <w:vAlign w:val="center"/>
          </w:tcPr>
          <w:p>
            <w:pPr>
              <w:pStyle w:val="15"/>
            </w:pPr>
            <w:r>
              <w:t>合计</w:t>
            </w:r>
          </w:p>
        </w:tc>
        <w:tc>
          <w:tcPr>
            <w:tcW w:w="866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Merge w:val="continue"/>
          </w:tcPr>
          <w:p/>
        </w:tc>
        <w:tc>
          <w:tcPr>
            <w:tcW w:w="1086" w:type="dxa"/>
            <w:vAlign w:val="center"/>
          </w:tcPr>
          <w:p>
            <w:pPr>
              <w:pStyle w:val="15"/>
            </w:pPr>
            <w:r>
              <w:t>科目    编码</w:t>
            </w:r>
          </w:p>
        </w:tc>
        <w:tc>
          <w:tcPr>
            <w:tcW w:w="2204" w:type="dxa"/>
            <w:vAlign w:val="center"/>
          </w:tcPr>
          <w:p>
            <w:pPr>
              <w:pStyle w:val="15"/>
            </w:pPr>
            <w:r>
              <w:t>科目名称</w:t>
            </w:r>
          </w:p>
        </w:tc>
        <w:tc>
          <w:tcPr>
            <w:tcW w:w="900" w:type="dxa"/>
            <w:vMerge w:val="continue"/>
          </w:tcPr>
          <w:p/>
        </w:tc>
        <w:tc>
          <w:tcPr>
            <w:tcW w:w="935" w:type="dxa"/>
            <w:vAlign w:val="center"/>
          </w:tcPr>
          <w:p>
            <w:pPr>
              <w:pStyle w:val="15"/>
            </w:pPr>
            <w:r>
              <w:t>小计</w:t>
            </w:r>
          </w:p>
        </w:tc>
        <w:tc>
          <w:tcPr>
            <w:tcW w:w="922"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Align w:val="center"/>
          </w:tcPr>
          <w:p>
            <w:pPr>
              <w:pStyle w:val="15"/>
            </w:pPr>
            <w:r>
              <w:t>栏次</w:t>
            </w:r>
          </w:p>
        </w:tc>
        <w:tc>
          <w:tcPr>
            <w:tcW w:w="1086" w:type="dxa"/>
            <w:vAlign w:val="center"/>
          </w:tcPr>
          <w:p>
            <w:pPr>
              <w:pStyle w:val="15"/>
            </w:pPr>
            <w:r>
              <w:t>1</w:t>
            </w:r>
          </w:p>
        </w:tc>
        <w:tc>
          <w:tcPr>
            <w:tcW w:w="2204" w:type="dxa"/>
            <w:vAlign w:val="center"/>
          </w:tcPr>
          <w:p>
            <w:pPr>
              <w:pStyle w:val="15"/>
            </w:pPr>
            <w:r>
              <w:t>2</w:t>
            </w:r>
          </w:p>
        </w:tc>
        <w:tc>
          <w:tcPr>
            <w:tcW w:w="900" w:type="dxa"/>
            <w:vAlign w:val="center"/>
          </w:tcPr>
          <w:p>
            <w:pPr>
              <w:pStyle w:val="15"/>
            </w:pPr>
            <w:r>
              <w:t>3</w:t>
            </w:r>
          </w:p>
        </w:tc>
        <w:tc>
          <w:tcPr>
            <w:tcW w:w="935" w:type="dxa"/>
            <w:vAlign w:val="center"/>
          </w:tcPr>
          <w:p>
            <w:pPr>
              <w:pStyle w:val="15"/>
            </w:pPr>
            <w:r>
              <w:t>4</w:t>
            </w:r>
          </w:p>
        </w:tc>
        <w:tc>
          <w:tcPr>
            <w:tcW w:w="922"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086" w:type="dxa"/>
            <w:vAlign w:val="top"/>
          </w:tcPr>
          <w:p>
            <w:pPr>
              <w:jc w:val="left"/>
            </w:pP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900" w:type="dxa"/>
            <w:vAlign w:val="top"/>
          </w:tcPr>
          <w:p>
            <w:pPr>
              <w:keepNext w:val="0"/>
              <w:keepLines w:val="0"/>
              <w:widowControl/>
              <w:suppressLineNumbers w:val="0"/>
              <w:jc w:val="right"/>
              <w:textAlignment w:val="top"/>
              <w:rPr>
                <w:rFonts w:hint="default" w:ascii="Calibri" w:hAnsi="Calibri" w:eastAsia="宋体" w:cs="Calibri"/>
                <w:sz w:val="24"/>
                <w:szCs w:val="24"/>
                <w:lang w:val="en-US" w:eastAsia="uk-UA" w:bidi="ar-SA"/>
              </w:rPr>
            </w:pPr>
            <w:r>
              <w:rPr>
                <w:rFonts w:hint="default" w:ascii="Calibri" w:hAnsi="Calibri" w:cs="Calibri"/>
                <w:lang w:val="en-US" w:eastAsia="zh-CN"/>
              </w:rPr>
              <w:t>107.05</w:t>
            </w:r>
          </w:p>
        </w:tc>
        <w:tc>
          <w:tcPr>
            <w:tcW w:w="935" w:type="dxa"/>
            <w:vAlign w:val="top"/>
          </w:tcPr>
          <w:p>
            <w:pPr>
              <w:keepNext w:val="0"/>
              <w:keepLines w:val="0"/>
              <w:widowControl/>
              <w:suppressLineNumbers w:val="0"/>
              <w:jc w:val="right"/>
              <w:textAlignment w:val="top"/>
              <w:rPr>
                <w:rFonts w:hint="default" w:ascii="Calibri" w:hAnsi="Calibri" w:eastAsia="宋体" w:cs="Calibri"/>
                <w:sz w:val="24"/>
                <w:szCs w:val="24"/>
                <w:lang w:val="en-US" w:eastAsia="uk-UA" w:bidi="ar-SA"/>
              </w:rPr>
            </w:pPr>
            <w:r>
              <w:rPr>
                <w:rFonts w:hint="default" w:ascii="Calibri" w:hAnsi="Calibri" w:cs="Calibri"/>
                <w:lang w:val="en-US" w:eastAsia="zh-CN"/>
              </w:rPr>
              <w:t>107.05</w:t>
            </w:r>
          </w:p>
        </w:tc>
        <w:tc>
          <w:tcPr>
            <w:tcW w:w="922" w:type="dxa"/>
            <w:vAlign w:val="top"/>
          </w:tcPr>
          <w:p>
            <w:pPr>
              <w:keepNext w:val="0"/>
              <w:keepLines w:val="0"/>
              <w:widowControl/>
              <w:suppressLineNumbers w:val="0"/>
              <w:jc w:val="right"/>
              <w:textAlignment w:val="top"/>
              <w:rPr>
                <w:rFonts w:hint="default" w:ascii="Calibri" w:hAnsi="Calibri" w:cs="Calibri"/>
              </w:rPr>
            </w:pPr>
            <w:r>
              <w:rPr>
                <w:rFonts w:hint="default" w:ascii="Calibri" w:hAnsi="Calibri" w:cs="Calibri"/>
                <w:lang w:val="en-US" w:eastAsia="zh-CN"/>
              </w:rPr>
              <w:t>107.05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900"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84.04</w:t>
            </w:r>
          </w:p>
        </w:tc>
        <w:tc>
          <w:tcPr>
            <w:tcW w:w="935"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84.04</w:t>
            </w:r>
          </w:p>
        </w:tc>
        <w:tc>
          <w:tcPr>
            <w:tcW w:w="922"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84.04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其他共产党事务支出</w:t>
            </w:r>
          </w:p>
        </w:tc>
        <w:tc>
          <w:tcPr>
            <w:tcW w:w="900"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84.04</w:t>
            </w:r>
          </w:p>
        </w:tc>
        <w:tc>
          <w:tcPr>
            <w:tcW w:w="935"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84.04</w:t>
            </w:r>
          </w:p>
        </w:tc>
        <w:tc>
          <w:tcPr>
            <w:tcW w:w="922"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84.04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2013601</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900"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82.04</w:t>
            </w:r>
          </w:p>
        </w:tc>
        <w:tc>
          <w:tcPr>
            <w:tcW w:w="935"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82.04</w:t>
            </w:r>
          </w:p>
        </w:tc>
        <w:tc>
          <w:tcPr>
            <w:tcW w:w="922"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82.04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2013602</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900"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2.00</w:t>
            </w:r>
          </w:p>
        </w:tc>
        <w:tc>
          <w:tcPr>
            <w:tcW w:w="935"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2.00</w:t>
            </w:r>
          </w:p>
        </w:tc>
        <w:tc>
          <w:tcPr>
            <w:tcW w:w="922"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900"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935"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922"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10.29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900"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935"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922"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900"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935"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922"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900"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5.49</w:t>
            </w:r>
          </w:p>
        </w:tc>
        <w:tc>
          <w:tcPr>
            <w:tcW w:w="935"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5.49</w:t>
            </w:r>
          </w:p>
        </w:tc>
        <w:tc>
          <w:tcPr>
            <w:tcW w:w="922"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5.49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900"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5.49</w:t>
            </w:r>
          </w:p>
        </w:tc>
        <w:tc>
          <w:tcPr>
            <w:tcW w:w="935"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5.49</w:t>
            </w:r>
          </w:p>
        </w:tc>
        <w:tc>
          <w:tcPr>
            <w:tcW w:w="922"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5.49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900"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5.49</w:t>
            </w:r>
          </w:p>
        </w:tc>
        <w:tc>
          <w:tcPr>
            <w:tcW w:w="935"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5.49</w:t>
            </w:r>
          </w:p>
        </w:tc>
        <w:tc>
          <w:tcPr>
            <w:tcW w:w="922"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5.49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90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7.23</w:t>
            </w:r>
          </w:p>
        </w:tc>
        <w:tc>
          <w:tcPr>
            <w:tcW w:w="935"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7.23</w:t>
            </w:r>
          </w:p>
        </w:tc>
        <w:tc>
          <w:tcPr>
            <w:tcW w:w="922"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7.23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08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2204"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900"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7.23</w:t>
            </w:r>
          </w:p>
        </w:tc>
        <w:tc>
          <w:tcPr>
            <w:tcW w:w="935"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7.23</w:t>
            </w:r>
          </w:p>
        </w:tc>
        <w:tc>
          <w:tcPr>
            <w:tcW w:w="922"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7.23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center"/>
          </w:tcPr>
          <w:p>
            <w:pPr>
              <w:pStyle w:val="18"/>
              <w:rPr>
                <w:rFonts w:hint="default" w:eastAsia="方正书宋_GBK"/>
                <w:lang w:val="en-US" w:eastAsia="zh-CN"/>
              </w:rPr>
            </w:pPr>
            <w:r>
              <w:rPr>
                <w:rFonts w:hint="eastAsia"/>
                <w:lang w:val="en-US" w:eastAsia="zh-CN"/>
              </w:rPr>
              <w:t>14</w:t>
            </w:r>
          </w:p>
        </w:tc>
        <w:tc>
          <w:tcPr>
            <w:tcW w:w="1086" w:type="dxa"/>
            <w:vAlign w:val="center"/>
          </w:tcPr>
          <w:p>
            <w:pPr>
              <w:pStyle w:val="17"/>
              <w:rPr>
                <w:rFonts w:hint="default" w:eastAsia="方正书宋_GBK" w:asciiTheme="majorAscii" w:hAnsiTheme="majorAscii"/>
                <w:sz w:val="22"/>
                <w:szCs w:val="22"/>
                <w:lang w:val="en-US" w:eastAsia="zh-CN"/>
              </w:rPr>
            </w:pPr>
            <w:r>
              <w:rPr>
                <w:rFonts w:hint="default" w:ascii="Calibri" w:hAnsi="Calibri" w:eastAsia="宋体" w:cs="Calibri"/>
                <w:i w:val="0"/>
                <w:iCs w:val="0"/>
                <w:color w:val="000000"/>
                <w:kern w:val="0"/>
                <w:sz w:val="22"/>
                <w:szCs w:val="22"/>
                <w:u w:val="none"/>
                <w:lang w:val="en-US" w:eastAsia="zh-CN" w:bidi="ar"/>
              </w:rPr>
              <w:t>2210201</w:t>
            </w:r>
          </w:p>
        </w:tc>
        <w:tc>
          <w:tcPr>
            <w:tcW w:w="2204" w:type="dxa"/>
            <w:vAlign w:val="center"/>
          </w:tcPr>
          <w:p>
            <w:pPr>
              <w:pStyle w:val="17"/>
              <w:rPr>
                <w:rFonts w:hint="default" w:eastAsia="方正书宋_GBK"/>
                <w:lang w:val="en-US" w:eastAsia="zh-CN"/>
              </w:rPr>
            </w:pPr>
            <w:r>
              <w:rPr>
                <w:rFonts w:hint="eastAsia"/>
                <w:lang w:val="en-US" w:eastAsia="zh-CN"/>
              </w:rPr>
              <w:t>住房公积金</w:t>
            </w:r>
          </w:p>
        </w:tc>
        <w:tc>
          <w:tcPr>
            <w:tcW w:w="900"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7.23</w:t>
            </w:r>
          </w:p>
        </w:tc>
        <w:tc>
          <w:tcPr>
            <w:tcW w:w="935"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7.23</w:t>
            </w:r>
          </w:p>
        </w:tc>
        <w:tc>
          <w:tcPr>
            <w:tcW w:w="922" w:type="dxa"/>
            <w:vAlign w:val="top"/>
          </w:tcPr>
          <w:p>
            <w:pPr>
              <w:keepNext w:val="0"/>
              <w:keepLines w:val="0"/>
              <w:widowControl/>
              <w:suppressLineNumbers w:val="0"/>
              <w:jc w:val="right"/>
              <w:textAlignment w:val="top"/>
              <w:rPr>
                <w:rFonts w:hint="default" w:eastAsia="宋体"/>
                <w:lang w:val="en-US" w:eastAsia="zh-CN"/>
              </w:rPr>
            </w:pPr>
            <w:r>
              <w:rPr>
                <w:rFonts w:hint="eastAsia" w:ascii="Calibri" w:hAnsi="Calibri" w:eastAsia="宋体" w:cs="Calibri"/>
                <w:i w:val="0"/>
                <w:iCs w:val="0"/>
                <w:color w:val="000000"/>
                <w:kern w:val="0"/>
                <w:sz w:val="22"/>
                <w:szCs w:val="22"/>
                <w:u w:val="none"/>
                <w:lang w:val="en-US" w:eastAsia="zh-CN" w:bidi="ar"/>
              </w:rPr>
              <w:t>7.23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jc w:val="center"/>
        <w:outlineLvl w:val="1"/>
        <w:rPr>
          <w:rFonts w:ascii="方正小标宋_GBK" w:hAnsi="方正小标宋_GBK" w:eastAsia="方正小标宋_GBK" w:cs="方正小标宋_GBK"/>
          <w:color w:val="000000"/>
          <w:sz w:val="36"/>
        </w:rPr>
      </w:pPr>
    </w:p>
    <w:p>
      <w:pPr>
        <w:jc w:val="center"/>
        <w:outlineLvl w:val="1"/>
      </w:pPr>
      <w:bookmarkStart w:id="2" w:name="_Toc15519"/>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212"/>
        <w:gridCol w:w="431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sz w:val="28"/>
                <w:szCs w:val="28"/>
              </w:rPr>
              <w:t>3</w:t>
            </w:r>
            <w:r>
              <w:rPr>
                <w:rFonts w:hint="eastAsia"/>
                <w:sz w:val="28"/>
                <w:szCs w:val="28"/>
                <w:lang w:val="en-US" w:eastAsia="zh-CN"/>
              </w:rPr>
              <w:t>82中共涞水</w:t>
            </w:r>
            <w:r>
              <w:rPr>
                <w:sz w:val="28"/>
                <w:szCs w:val="28"/>
              </w:rPr>
              <w:t>县</w:t>
            </w:r>
            <w:r>
              <w:rPr>
                <w:rFonts w:hint="eastAsia"/>
                <w:sz w:val="28"/>
                <w:szCs w:val="28"/>
                <w:lang w:val="en-US" w:eastAsia="zh-CN"/>
              </w:rPr>
              <w:t>委机构编制委员会办公室</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212" w:type="dxa"/>
            <w:vAlign w:val="center"/>
          </w:tcPr>
          <w:p>
            <w:pPr>
              <w:pStyle w:val="15"/>
            </w:pPr>
            <w:r>
              <w:t>科目    编码</w:t>
            </w:r>
          </w:p>
        </w:tc>
        <w:tc>
          <w:tcPr>
            <w:tcW w:w="431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212" w:type="dxa"/>
            <w:vAlign w:val="center"/>
          </w:tcPr>
          <w:p>
            <w:pPr>
              <w:pStyle w:val="15"/>
            </w:pPr>
            <w:r>
              <w:t>1</w:t>
            </w:r>
          </w:p>
        </w:tc>
        <w:tc>
          <w:tcPr>
            <w:tcW w:w="431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212" w:type="dxa"/>
            <w:vAlign w:val="top"/>
          </w:tcPr>
          <w:p>
            <w:pPr>
              <w:jc w:val="left"/>
            </w:pP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107.05</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105.05</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2.00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84.04</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82.04</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2.00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其他共产党事务支出</w:t>
            </w:r>
          </w:p>
        </w:tc>
        <w:tc>
          <w:tcPr>
            <w:tcW w:w="1361" w:type="dxa"/>
            <w:vAlign w:val="top"/>
          </w:tcPr>
          <w:p>
            <w:pPr>
              <w:keepNext w:val="0"/>
              <w:keepLines w:val="0"/>
              <w:widowControl/>
              <w:suppressLineNumbers w:val="0"/>
              <w:jc w:val="right"/>
              <w:textAlignment w:val="top"/>
              <w:rPr>
                <w:rFonts w:hint="default" w:ascii="Times New Roman" w:hAnsi="Times New Roman" w:eastAsia="方正书宋_GBK"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84.04</w:t>
            </w:r>
          </w:p>
        </w:tc>
        <w:tc>
          <w:tcPr>
            <w:tcW w:w="1361" w:type="dxa"/>
            <w:vAlign w:val="top"/>
          </w:tcPr>
          <w:p>
            <w:pPr>
              <w:keepNext w:val="0"/>
              <w:keepLines w:val="0"/>
              <w:widowControl/>
              <w:suppressLineNumbers w:val="0"/>
              <w:jc w:val="right"/>
              <w:textAlignment w:val="top"/>
              <w:rPr>
                <w:rFonts w:hint="default" w:ascii="Times New Roman" w:hAnsi="Times New Roman" w:eastAsia="方正书宋_GBK"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82.04</w:t>
            </w:r>
          </w:p>
        </w:tc>
        <w:tc>
          <w:tcPr>
            <w:tcW w:w="1361" w:type="dxa"/>
            <w:vAlign w:val="top"/>
          </w:tcPr>
          <w:p>
            <w:pPr>
              <w:keepNext w:val="0"/>
              <w:keepLines w:val="0"/>
              <w:widowControl/>
              <w:suppressLineNumbers w:val="0"/>
              <w:jc w:val="right"/>
              <w:textAlignment w:val="top"/>
              <w:rPr>
                <w:rFonts w:hint="default" w:ascii="Times New Roman" w:hAnsi="Times New Roman" w:eastAsia="方正书宋_GBK"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2.00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2013601</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82.04</w:t>
            </w:r>
          </w:p>
        </w:tc>
        <w:tc>
          <w:tcPr>
            <w:tcW w:w="136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82.04</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2013602</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2.00</w:t>
            </w:r>
          </w:p>
        </w:tc>
        <w:tc>
          <w:tcPr>
            <w:tcW w:w="1361" w:type="dxa"/>
            <w:vAlign w:val="top"/>
          </w:tcPr>
          <w:p>
            <w:pPr>
              <w:jc w:val="right"/>
            </w:pPr>
          </w:p>
        </w:tc>
        <w:tc>
          <w:tcPr>
            <w:tcW w:w="136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2.00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136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136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136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136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136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136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5.49</w:t>
            </w:r>
          </w:p>
        </w:tc>
        <w:tc>
          <w:tcPr>
            <w:tcW w:w="136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5.49</w:t>
            </w:r>
          </w:p>
        </w:tc>
        <w:tc>
          <w:tcPr>
            <w:tcW w:w="136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5.49</w:t>
            </w:r>
          </w:p>
        </w:tc>
        <w:tc>
          <w:tcPr>
            <w:tcW w:w="136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5.49</w:t>
            </w:r>
          </w:p>
        </w:tc>
        <w:tc>
          <w:tcPr>
            <w:tcW w:w="136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5.49</w:t>
            </w:r>
          </w:p>
        </w:tc>
        <w:tc>
          <w:tcPr>
            <w:tcW w:w="136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5.49</w:t>
            </w:r>
          </w:p>
        </w:tc>
        <w:tc>
          <w:tcPr>
            <w:tcW w:w="136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7.23</w:t>
            </w:r>
          </w:p>
        </w:tc>
        <w:tc>
          <w:tcPr>
            <w:tcW w:w="1361"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7.23</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7.23</w:t>
            </w:r>
          </w:p>
        </w:tc>
        <w:tc>
          <w:tcPr>
            <w:tcW w:w="136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7.23</w:t>
            </w:r>
          </w:p>
        </w:tc>
        <w:tc>
          <w:tcPr>
            <w:tcW w:w="136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zh-CN"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21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3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7.23</w:t>
            </w:r>
          </w:p>
        </w:tc>
        <w:tc>
          <w:tcPr>
            <w:tcW w:w="136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7.23</w:t>
            </w:r>
          </w:p>
        </w:tc>
        <w:tc>
          <w:tcPr>
            <w:tcW w:w="136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zh-CN"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3" w:name="_Toc20299"/>
      <w:r>
        <w:rPr>
          <w:rFonts w:ascii="方正小标宋_GBK" w:hAnsi="方正小标宋_GBK" w:eastAsia="方正小标宋_GBK" w:cs="方正小标宋_GBK"/>
          <w:color w:val="000000"/>
          <w:sz w:val="36"/>
        </w:rPr>
        <w:t>部门预算财政拨款收支总表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t>3</w:t>
            </w:r>
            <w:r>
              <w:rPr>
                <w:rFonts w:hint="eastAsia"/>
                <w:lang w:val="en-US" w:eastAsia="zh-CN"/>
              </w:rPr>
              <w:t>82中共涞水县委机构编制委员会办公室</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107.05</w:t>
            </w:r>
          </w:p>
        </w:tc>
        <w:tc>
          <w:tcPr>
            <w:tcW w:w="3402" w:type="dxa"/>
            <w:vAlign w:val="center"/>
          </w:tcPr>
          <w:p>
            <w:pPr>
              <w:pStyle w:val="17"/>
            </w:pPr>
            <w:r>
              <w:t>一、一般公共服务支出</w:t>
            </w:r>
          </w:p>
        </w:tc>
        <w:tc>
          <w:tcPr>
            <w:tcW w:w="1474" w:type="dxa"/>
            <w:vAlign w:val="center"/>
          </w:tcPr>
          <w:p>
            <w:pPr>
              <w:pStyle w:val="16"/>
              <w:rPr>
                <w:rFonts w:hint="default"/>
                <w:lang w:val="en-US"/>
              </w:rPr>
            </w:pPr>
            <w:r>
              <w:rPr>
                <w:rFonts w:hint="eastAsia"/>
                <w:lang w:val="en-US" w:eastAsia="zh-CN"/>
              </w:rPr>
              <w:t>107.05</w:t>
            </w:r>
          </w:p>
        </w:tc>
        <w:tc>
          <w:tcPr>
            <w:tcW w:w="1474" w:type="dxa"/>
            <w:vAlign w:val="center"/>
          </w:tcPr>
          <w:p>
            <w:pPr>
              <w:pStyle w:val="16"/>
              <w:rPr>
                <w:rFonts w:hint="default" w:eastAsia="方正书宋_GBK"/>
                <w:lang w:val="en-US" w:eastAsia="zh-CN"/>
              </w:rPr>
            </w:pPr>
            <w:r>
              <w:rPr>
                <w:rFonts w:hint="eastAsia"/>
                <w:lang w:val="en-US" w:eastAsia="zh-CN"/>
              </w:rPr>
              <w:t>107.05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10.29</w:t>
            </w:r>
          </w:p>
        </w:tc>
        <w:tc>
          <w:tcPr>
            <w:tcW w:w="1474" w:type="dxa"/>
            <w:vAlign w:val="center"/>
          </w:tcPr>
          <w:p>
            <w:pPr>
              <w:pStyle w:val="16"/>
              <w:rPr>
                <w:rFonts w:hint="default"/>
                <w:lang w:val="en-US"/>
              </w:rPr>
            </w:pPr>
            <w:r>
              <w:rPr>
                <w:rFonts w:hint="eastAsia"/>
                <w:lang w:val="en-US" w:eastAsia="zh-CN"/>
              </w:rPr>
              <w:t>10.29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lang w:val="en-US" w:eastAsia="zh-CN"/>
              </w:rPr>
              <w:t>5.49</w:t>
            </w:r>
          </w:p>
        </w:tc>
        <w:tc>
          <w:tcPr>
            <w:tcW w:w="1474" w:type="dxa"/>
            <w:vAlign w:val="center"/>
          </w:tcPr>
          <w:p>
            <w:pPr>
              <w:pStyle w:val="16"/>
              <w:rPr>
                <w:rFonts w:hint="default" w:eastAsia="方正书宋_GBK"/>
                <w:lang w:val="en-US" w:eastAsia="zh-CN"/>
              </w:rPr>
            </w:pPr>
            <w:r>
              <w:rPr>
                <w:rFonts w:hint="eastAsia"/>
                <w:lang w:val="en-US" w:eastAsia="zh-CN"/>
              </w:rPr>
              <w:t>5.49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7.23</w:t>
            </w:r>
          </w:p>
        </w:tc>
        <w:tc>
          <w:tcPr>
            <w:tcW w:w="1474" w:type="dxa"/>
            <w:vAlign w:val="center"/>
          </w:tcPr>
          <w:p>
            <w:pPr>
              <w:pStyle w:val="16"/>
              <w:rPr>
                <w:rFonts w:hint="default" w:eastAsia="方正书宋_GBK"/>
                <w:lang w:val="en-US" w:eastAsia="zh-CN"/>
              </w:rPr>
            </w:pPr>
            <w:r>
              <w:rPr>
                <w:rFonts w:hint="eastAsia"/>
                <w:lang w:val="en-US" w:eastAsia="zh-CN"/>
              </w:rPr>
              <w:t>7.23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lang w:val="en-US" w:eastAsia="zh-CN"/>
              </w:rPr>
              <w:t>107.05</w:t>
            </w:r>
          </w:p>
        </w:tc>
        <w:tc>
          <w:tcPr>
            <w:tcW w:w="3402" w:type="dxa"/>
            <w:vAlign w:val="center"/>
          </w:tcPr>
          <w:p>
            <w:pPr>
              <w:pStyle w:val="19"/>
            </w:pPr>
            <w:r>
              <w:t>本年支出合计</w:t>
            </w:r>
          </w:p>
        </w:tc>
        <w:tc>
          <w:tcPr>
            <w:tcW w:w="147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107.05</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107.05</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lang w:val="en-US"/>
              </w:rPr>
            </w:pPr>
            <w:r>
              <w:rPr>
                <w:rFonts w:hint="eastAsia"/>
                <w:lang w:val="en-US" w:eastAsia="zh-CN"/>
              </w:rPr>
              <w:t>107.05</w:t>
            </w:r>
          </w:p>
        </w:tc>
        <w:tc>
          <w:tcPr>
            <w:tcW w:w="3402" w:type="dxa"/>
            <w:vAlign w:val="center"/>
          </w:tcPr>
          <w:p>
            <w:pPr>
              <w:pStyle w:val="19"/>
            </w:pPr>
            <w:r>
              <w:t>支出总计</w:t>
            </w:r>
          </w:p>
        </w:tc>
        <w:tc>
          <w:tcPr>
            <w:tcW w:w="1474" w:type="dxa"/>
            <w:vAlign w:val="center"/>
          </w:tcPr>
          <w:p>
            <w:pPr>
              <w:pStyle w:val="20"/>
            </w:pPr>
            <w:r>
              <w:rPr>
                <w:rFonts w:hint="eastAsia"/>
                <w:lang w:val="en-US" w:eastAsia="zh-CN"/>
              </w:rPr>
              <w:t>107.05</w:t>
            </w:r>
          </w:p>
        </w:tc>
        <w:tc>
          <w:tcPr>
            <w:tcW w:w="1474" w:type="dxa"/>
            <w:vAlign w:val="center"/>
          </w:tcPr>
          <w:p>
            <w:pPr>
              <w:pStyle w:val="20"/>
            </w:pPr>
            <w:r>
              <w:rPr>
                <w:rFonts w:hint="eastAsia"/>
                <w:lang w:val="en-US" w:eastAsia="zh-CN"/>
              </w:rPr>
              <w:t>107.05</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4" w:name="_Toc28080"/>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t>3</w:t>
            </w:r>
            <w:r>
              <w:rPr>
                <w:rFonts w:hint="eastAsia"/>
                <w:lang w:val="en-US" w:eastAsia="zh-CN"/>
              </w:rPr>
              <w:t>82中共涞水县委机构编制委员会办公室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rPr>
                <w:rFonts w:hint="default"/>
                <w:lang w:val="en-US"/>
              </w:rPr>
            </w:pPr>
            <w:r>
              <w:rPr>
                <w:rFonts w:hint="default" w:ascii="Calibri" w:hAnsi="Calibri" w:cs="Calibri"/>
                <w:lang w:val="en-US" w:eastAsia="zh-CN"/>
              </w:rPr>
              <w:t>107.05</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105.05</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84.04</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82.04</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其他共产党事务支出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84.04</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82.04</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82.04</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82.04</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2013602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2.00</w:t>
            </w:r>
          </w:p>
        </w:tc>
        <w:tc>
          <w:tcPr>
            <w:tcW w:w="2551" w:type="dxa"/>
            <w:vAlign w:val="top"/>
          </w:tcPr>
          <w:p>
            <w:pPr>
              <w:jc w:val="right"/>
            </w:pPr>
          </w:p>
        </w:tc>
        <w:tc>
          <w:tcPr>
            <w:tcW w:w="2551" w:type="dxa"/>
            <w:vAlign w:val="top"/>
          </w:tcPr>
          <w:p>
            <w:pPr>
              <w:jc w:val="right"/>
              <w:rPr>
                <w:rFonts w:hint="default" w:eastAsia="方正书宋_GBK"/>
                <w:lang w:val="en-US" w:eastAsia="zh-CN"/>
              </w:rPr>
            </w:pPr>
            <w:r>
              <w:rPr>
                <w:rFonts w:hint="eastAsia" w:eastAsia="方正书宋_GBK"/>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255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255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255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10.29</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5.49</w:t>
            </w:r>
          </w:p>
        </w:tc>
        <w:tc>
          <w:tcPr>
            <w:tcW w:w="255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5.49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5.49</w:t>
            </w:r>
          </w:p>
        </w:tc>
        <w:tc>
          <w:tcPr>
            <w:tcW w:w="255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5.49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5.49</w:t>
            </w:r>
          </w:p>
        </w:tc>
        <w:tc>
          <w:tcPr>
            <w:tcW w:w="255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5.49</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7.23</w:t>
            </w:r>
          </w:p>
        </w:tc>
        <w:tc>
          <w:tcPr>
            <w:tcW w:w="255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7.23</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7.23</w:t>
            </w:r>
          </w:p>
        </w:tc>
        <w:tc>
          <w:tcPr>
            <w:tcW w:w="255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7.23</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7.23</w:t>
            </w:r>
          </w:p>
        </w:tc>
        <w:tc>
          <w:tcPr>
            <w:tcW w:w="255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zh-CN" w:bidi="ar-SA"/>
              </w:rPr>
            </w:pPr>
            <w:r>
              <w:rPr>
                <w:rFonts w:hint="eastAsia" w:ascii="Calibri" w:hAnsi="Calibri" w:eastAsia="宋体" w:cs="Calibri"/>
                <w:i w:val="0"/>
                <w:iCs w:val="0"/>
                <w:color w:val="000000"/>
                <w:kern w:val="0"/>
                <w:sz w:val="22"/>
                <w:szCs w:val="22"/>
                <w:u w:val="none"/>
                <w:lang w:val="en-US" w:eastAsia="zh-CN" w:bidi="ar"/>
              </w:rPr>
              <w:t>7.23</w:t>
            </w:r>
          </w:p>
        </w:tc>
        <w:tc>
          <w:tcPr>
            <w:tcW w:w="255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5" w:name="_Toc18807"/>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t>3</w:t>
            </w:r>
            <w:r>
              <w:rPr>
                <w:rFonts w:hint="eastAsia"/>
                <w:lang w:val="en-US" w:eastAsia="zh-CN"/>
              </w:rPr>
              <w:t>82中共涞水县委机构编制委员会办公室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105.05</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96.09</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96.09</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96.09</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38.97</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38.97</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17.06</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17.06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9.11</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9.11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eastAsia="宋体" w:cs="Calibri"/>
                <w:i w:val="0"/>
                <w:iCs w:val="0"/>
                <w:color w:val="000000"/>
                <w:kern w:val="0"/>
                <w:sz w:val="22"/>
                <w:szCs w:val="22"/>
                <w:u w:val="none"/>
                <w:lang w:val="en-US" w:eastAsia="zh-CN" w:bidi="ar"/>
              </w:rPr>
              <w:t>7.61</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7.61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10.29</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10.29</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5.49</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5.49</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0.33</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0.33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7.23</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7.23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8.96</w:t>
            </w:r>
          </w:p>
        </w:tc>
        <w:tc>
          <w:tcPr>
            <w:tcW w:w="2551" w:type="dxa"/>
            <w:vAlign w:val="top"/>
          </w:tcPr>
          <w:p>
            <w:pPr>
              <w:jc w:val="right"/>
            </w:pP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1.98</w:t>
            </w:r>
          </w:p>
        </w:tc>
        <w:tc>
          <w:tcPr>
            <w:tcW w:w="2551" w:type="dxa"/>
            <w:vAlign w:val="top"/>
          </w:tcPr>
          <w:p>
            <w:pPr>
              <w:jc w:val="right"/>
            </w:pP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eastAsia="宋体" w:cs="Calibri"/>
                <w:i w:val="0"/>
                <w:iCs w:val="0"/>
                <w:color w:val="000000"/>
                <w:kern w:val="0"/>
                <w:sz w:val="22"/>
                <w:szCs w:val="22"/>
                <w:u w:val="none"/>
                <w:lang w:val="en-US" w:eastAsia="zh-CN" w:bidi="ar"/>
              </w:rPr>
              <w:t>9</w:t>
            </w: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eastAsia="宋体" w:cs="Calibri"/>
                <w:i w:val="0"/>
                <w:iCs w:val="0"/>
                <w:color w:val="000000"/>
                <w:kern w:val="0"/>
                <w:sz w:val="22"/>
                <w:szCs w:val="22"/>
                <w:u w:val="none"/>
                <w:lang w:val="en-US" w:eastAsia="zh-CN" w:bidi="ar"/>
              </w:rPr>
              <w:t>9</w:t>
            </w: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eastAsia="宋体" w:cs="Calibri"/>
                <w:i w:val="0"/>
                <w:iCs w:val="0"/>
                <w:color w:val="000000"/>
                <w:kern w:val="0"/>
                <w:sz w:val="22"/>
                <w:szCs w:val="22"/>
                <w:u w:val="none"/>
                <w:lang w:val="en-US" w:eastAsia="zh-CN" w:bidi="ar"/>
              </w:rPr>
              <w:t>78</w:t>
            </w:r>
          </w:p>
        </w:tc>
        <w:tc>
          <w:tcPr>
            <w:tcW w:w="2551" w:type="dxa"/>
            <w:vAlign w:val="top"/>
          </w:tcPr>
          <w:p>
            <w:pPr>
              <w:jc w:val="right"/>
            </w:pP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1.22</w:t>
            </w:r>
          </w:p>
        </w:tc>
        <w:tc>
          <w:tcPr>
            <w:tcW w:w="2551" w:type="dxa"/>
            <w:vAlign w:val="top"/>
          </w:tcPr>
          <w:p>
            <w:pPr>
              <w:jc w:val="right"/>
            </w:pP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3.60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0.12</w:t>
            </w:r>
          </w:p>
        </w:tc>
      </w:tr>
    </w:tbl>
    <w:p>
      <w:pPr>
        <w:jc w:val="center"/>
        <w:outlineLvl w:val="1"/>
      </w:pPr>
      <w:bookmarkStart w:id="6" w:name="_Toc8880"/>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t>3</w:t>
            </w:r>
            <w:r>
              <w:rPr>
                <w:rFonts w:hint="eastAsia"/>
                <w:lang w:val="en-US" w:eastAsia="zh-CN"/>
              </w:rPr>
              <w:t>82中共涞水县委机构编制委员会办公室</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23817"/>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82中共涞水县委机构编制委员会办公室</w:t>
            </w:r>
          </w:p>
        </w:tc>
        <w:tc>
          <w:tcPr>
            <w:tcW w:w="2551" w:type="dxa"/>
            <w:tcBorders>
              <w:top w:val="single" w:color="FFFFFF" w:sz="6" w:space="0"/>
              <w:left w:val="single" w:color="FFFFFF" w:sz="6" w:space="0"/>
              <w:right w:val="single" w:color="FFFFFF" w:sz="6" w:space="0"/>
            </w:tcBorders>
            <w:vAlign w:val="center"/>
          </w:tcPr>
          <w:p>
            <w:pPr>
              <w:pStyle w:val="13"/>
              <w:tabs>
                <w:tab w:val="center" w:pos="1227"/>
                <w:tab w:val="right" w:pos="2335"/>
              </w:tabs>
              <w:jc w:val="left"/>
              <w:rPr>
                <w:rFonts w:hint="eastAsia" w:eastAsia="方正小标宋_GBK"/>
                <w:lang w:val="en-US" w:eastAsia="zh-CN"/>
              </w:rPr>
            </w:pPr>
            <w:r>
              <w:rPr>
                <w:rFonts w:hint="eastAsia"/>
                <w:lang w:eastAsia="zh-CN"/>
              </w:rPr>
              <w:tab/>
            </w: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3094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82中共涞水县委机构编制委员会办公室</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bl>
    <w:p>
      <w:pPr>
        <w:jc w:val="both"/>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lang w:eastAsia="zh-CN"/>
        </w:rPr>
        <w:t>X</w:t>
      </w:r>
      <w:r>
        <w:rPr>
          <w:rFonts w:hint="eastAsia" w:ascii="方正书宋_GBK" w:hAnsi="方正书宋_GBK" w:eastAsia="方正书宋_GBK" w:cs="方正书宋_GBK"/>
          <w:color w:val="FFFFFF"/>
          <w:sz w:val="21"/>
          <w:lang w:val="en-US" w:eastAsia="zh-CN"/>
        </w:rPr>
        <w:t xml:space="preserve"> </w:t>
      </w:r>
      <w:r>
        <w:rPr>
          <w:rFonts w:hint="eastAsia" w:ascii="方正书宋_GBK" w:hAnsi="方正书宋_GBK" w:eastAsia="方正书宋_GBK" w:cs="方正书宋_GBK"/>
          <w:color w:val="000000"/>
          <w:sz w:val="21"/>
          <w:lang w:val="en-US" w:eastAsia="zh-CN"/>
        </w:rPr>
        <w:t xml:space="preserve"> </w:t>
      </w:r>
      <w:r>
        <w:rPr>
          <w:rFonts w:hint="eastAsia"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val="en-US" w:eastAsia="zh-CN"/>
        </w:rPr>
        <w:t>财政拨款</w:t>
      </w:r>
      <w:r>
        <w:rPr>
          <w:rFonts w:hint="eastAsia" w:ascii="方正书宋_GBK" w:hAnsi="方正书宋_GBK" w:eastAsia="方正书宋_GBK" w:cs="方正书宋_GBK"/>
          <w:color w:val="000000"/>
          <w:sz w:val="21"/>
        </w:rPr>
        <w:t>“三公”经费支出预算，空表列示。</w:t>
      </w:r>
      <w:r>
        <w:rPr>
          <w:rFonts w:ascii="方正书宋_GBK" w:hAnsi="方正书宋_GBK" w:eastAsia="方正书宋_GBK" w:cs="方正书宋_GBK"/>
          <w:color w:val="FFFFFF"/>
          <w:sz w:val="21"/>
        </w:rPr>
        <w:t>部门预算信息公开情况说明</w:t>
      </w:r>
    </w:p>
    <w:p>
      <w:pPr>
        <w:jc w:val="center"/>
        <w:rPr>
          <w:w w:val="90"/>
        </w:rPr>
      </w:pPr>
      <w:r>
        <w:rPr>
          <w:rFonts w:hint="eastAsia" w:ascii="方正小标宋_GBK" w:hAnsi="方正小标宋_GBK" w:eastAsia="方正小标宋_GBK" w:cs="方正小标宋_GBK"/>
          <w:color w:val="000000"/>
          <w:w w:val="90"/>
          <w:sz w:val="44"/>
          <w:lang w:val="en-US" w:eastAsia="zh-CN"/>
        </w:rPr>
        <w:t>中共涞水县委机构编制委员会办公室</w:t>
      </w:r>
      <w:r>
        <w:rPr>
          <w:rFonts w:ascii="方正小标宋_GBK" w:hAnsi="方正小标宋_GBK" w:eastAsia="方正小标宋_GBK" w:cs="方正小标宋_GBK"/>
          <w:color w:val="000000"/>
          <w:w w:val="90"/>
          <w:sz w:val="44"/>
        </w:rPr>
        <w:t>202</w:t>
      </w:r>
      <w:r>
        <w:rPr>
          <w:rFonts w:hint="eastAsia" w:ascii="方正小标宋_GBK" w:hAnsi="方正小标宋_GBK" w:eastAsia="方正小标宋_GBK" w:cs="方正小标宋_GBK"/>
          <w:color w:val="000000"/>
          <w:w w:val="90"/>
          <w:sz w:val="44"/>
          <w:lang w:val="en-US" w:eastAsia="zh-CN"/>
        </w:rPr>
        <w:t>4</w:t>
      </w:r>
      <w:r>
        <w:rPr>
          <w:rFonts w:ascii="方正小标宋_GBK" w:hAnsi="方正小标宋_GBK" w:eastAsia="方正小标宋_GBK" w:cs="方正小标宋_GBK"/>
          <w:color w:val="000000"/>
          <w:w w:val="9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val="en-US" w:eastAsia="zh-CN"/>
        </w:rPr>
        <w:t>中共涞水县委机构编制委员会办公室</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年部门预算公开如下：</w:t>
      </w:r>
    </w:p>
    <w:p>
      <w:pPr>
        <w:spacing w:before="10" w:after="10" w:line="360" w:lineRule="auto"/>
        <w:ind w:firstLine="640"/>
        <w:outlineLvl w:val="2"/>
      </w:pPr>
      <w:bookmarkStart w:id="9" w:name="_Toc9002"/>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2"/>
      </w:pPr>
      <w:r>
        <w:rPr>
          <w:rFonts w:hint="eastAsia"/>
          <w:lang w:val="en-US" w:eastAsia="zh-CN"/>
        </w:rPr>
        <w:t>中共涞水县委机构编制委员会办公室</w:t>
      </w:r>
      <w:r>
        <w:t>部门职责</w:t>
      </w:r>
    </w:p>
    <w:p>
      <w:pPr>
        <w:pStyle w:val="22"/>
        <w:rPr>
          <w:rFonts w:hint="eastAsia"/>
        </w:rPr>
      </w:pPr>
      <w:r>
        <w:rPr>
          <w:rFonts w:hint="eastAsia"/>
          <w:lang w:eastAsia="zh-CN"/>
        </w:rPr>
        <w:t>（</w:t>
      </w:r>
      <w:r>
        <w:rPr>
          <w:rFonts w:hint="eastAsia"/>
          <w:lang w:val="en-US" w:eastAsia="zh-CN"/>
        </w:rPr>
        <w:t>一</w:t>
      </w:r>
      <w:r>
        <w:rPr>
          <w:rFonts w:hint="eastAsia"/>
          <w:lang w:eastAsia="zh-CN"/>
        </w:rPr>
        <w:t>）</w:t>
      </w:r>
      <w:r>
        <w:rPr>
          <w:rFonts w:hint="eastAsia"/>
        </w:rPr>
        <w:t>研究制定全县行政管理体制和机构改革以及机构编制管理办法。统一管理全县党政机关，人大、政协、法院、检察院机关，各民主党派、人民团体的机构编制工作。</w:t>
      </w:r>
    </w:p>
    <w:p>
      <w:pPr>
        <w:pStyle w:val="22"/>
        <w:rPr>
          <w:rFonts w:hint="eastAsia"/>
        </w:rPr>
      </w:pPr>
      <w:r>
        <w:rPr>
          <w:rFonts w:hint="eastAsia"/>
          <w:lang w:eastAsia="zh-CN"/>
        </w:rPr>
        <w:t>（</w:t>
      </w:r>
      <w:r>
        <w:rPr>
          <w:rFonts w:hint="eastAsia"/>
          <w:lang w:val="en-US" w:eastAsia="zh-CN"/>
        </w:rPr>
        <w:t>二</w:t>
      </w:r>
      <w:r>
        <w:rPr>
          <w:rFonts w:hint="eastAsia"/>
          <w:lang w:eastAsia="zh-CN"/>
        </w:rPr>
        <w:t>）</w:t>
      </w:r>
      <w:r>
        <w:rPr>
          <w:rFonts w:hint="eastAsia"/>
        </w:rPr>
        <w:t>研究拟定全县行政管理体制与机构编制总体方案，指导、协调县直、乡镇行政管理体制以及机构编制管理工作。</w:t>
      </w:r>
    </w:p>
    <w:p>
      <w:pPr>
        <w:pStyle w:val="22"/>
        <w:rPr>
          <w:rFonts w:hint="eastAsia"/>
        </w:rPr>
      </w:pPr>
      <w:r>
        <w:rPr>
          <w:rFonts w:hint="eastAsia"/>
          <w:lang w:eastAsia="zh-CN"/>
        </w:rPr>
        <w:t>（</w:t>
      </w:r>
      <w:r>
        <w:rPr>
          <w:rFonts w:hint="eastAsia"/>
          <w:lang w:val="en-US" w:eastAsia="zh-CN"/>
        </w:rPr>
        <w:t>三</w:t>
      </w:r>
      <w:r>
        <w:rPr>
          <w:rFonts w:hint="eastAsia"/>
          <w:lang w:eastAsia="zh-CN"/>
        </w:rPr>
        <w:t>）</w:t>
      </w:r>
      <w:r>
        <w:rPr>
          <w:rFonts w:hint="eastAsia"/>
        </w:rPr>
        <w:t>协调县委各部门、县政府各部门的职能配置及其调整，协调县委各部门之间、县政府各部门之间，县委各部门和县政府各部门之间以及各部门与乡镇之间的职责分工。</w:t>
      </w:r>
    </w:p>
    <w:p>
      <w:pPr>
        <w:pStyle w:val="22"/>
        <w:rPr>
          <w:rFonts w:hint="eastAsia"/>
        </w:rPr>
      </w:pPr>
      <w:r>
        <w:rPr>
          <w:rFonts w:hint="eastAsia"/>
          <w:lang w:eastAsia="zh-CN"/>
        </w:rPr>
        <w:t>（</w:t>
      </w:r>
      <w:r>
        <w:rPr>
          <w:rFonts w:hint="eastAsia"/>
          <w:lang w:val="en-US" w:eastAsia="zh-CN"/>
        </w:rPr>
        <w:t>四</w:t>
      </w:r>
      <w:r>
        <w:rPr>
          <w:rFonts w:hint="eastAsia"/>
          <w:lang w:eastAsia="zh-CN"/>
        </w:rPr>
        <w:t>）</w:t>
      </w:r>
      <w:r>
        <w:rPr>
          <w:rFonts w:hint="eastAsia"/>
        </w:rPr>
        <w:t>审核县委各部门、县政府各部门派出机构、垂直或以县为主管理机构的职能配置、机构设置、人员编制和领导职数；审核乡镇党委、政府副科级以上职能配置、机构设置、人员编制、领导职数，审核乡镇机构编制分类和乡镇、县直党政群机关人员编制总额；审核县直承担行政职能事业单位的科级以上机构设置。</w:t>
      </w:r>
    </w:p>
    <w:p>
      <w:pPr>
        <w:pStyle w:val="22"/>
        <w:rPr>
          <w:rFonts w:hint="eastAsia"/>
        </w:rPr>
      </w:pPr>
      <w:r>
        <w:rPr>
          <w:rFonts w:hint="eastAsia"/>
          <w:lang w:eastAsia="zh-CN"/>
        </w:rPr>
        <w:t>（</w:t>
      </w:r>
      <w:r>
        <w:rPr>
          <w:rFonts w:hint="eastAsia"/>
          <w:lang w:val="en-US" w:eastAsia="zh-CN"/>
        </w:rPr>
        <w:t>五</w:t>
      </w:r>
      <w:r>
        <w:rPr>
          <w:rFonts w:hint="eastAsia"/>
          <w:lang w:eastAsia="zh-CN"/>
        </w:rPr>
        <w:t>）</w:t>
      </w:r>
      <w:r>
        <w:rPr>
          <w:rFonts w:hint="eastAsia"/>
        </w:rPr>
        <w:t>审核县人大、政协、法院、检察院和各民主党派、人民团体机关的职能配置、机构设置、人员编制和领导职数。</w:t>
      </w:r>
    </w:p>
    <w:p>
      <w:pPr>
        <w:pStyle w:val="22"/>
        <w:rPr>
          <w:rFonts w:hint="eastAsia"/>
        </w:rPr>
      </w:pPr>
      <w:r>
        <w:rPr>
          <w:rFonts w:hint="eastAsia"/>
          <w:lang w:eastAsia="zh-CN"/>
        </w:rPr>
        <w:t>（</w:t>
      </w:r>
      <w:r>
        <w:rPr>
          <w:rFonts w:hint="eastAsia"/>
          <w:lang w:val="en-US" w:eastAsia="zh-CN"/>
        </w:rPr>
        <w:t>六</w:t>
      </w:r>
      <w:r>
        <w:rPr>
          <w:rFonts w:hint="eastAsia"/>
          <w:lang w:eastAsia="zh-CN"/>
        </w:rPr>
        <w:t>）</w:t>
      </w:r>
      <w:r>
        <w:rPr>
          <w:rFonts w:hint="eastAsia"/>
        </w:rPr>
        <w:t>研究拟定全县事业单位管理体制和机构改革方案；审核县委、县政府直属事业单位的机构编制方案；上述或审批县直各部门所属事业单位的机构设置、职责任务、人员编制和领导职数；负责事业单位法人登记的管理；负责事业机构编制管理方面其它重要事项；指导并协调乡镇以下事业管理体制改革和机构编制管理工作。</w:t>
      </w:r>
    </w:p>
    <w:p>
      <w:pPr>
        <w:pStyle w:val="22"/>
        <w:rPr>
          <w:rFonts w:hint="eastAsia"/>
        </w:rPr>
      </w:pPr>
      <w:r>
        <w:rPr>
          <w:rFonts w:hint="eastAsia"/>
          <w:lang w:eastAsia="zh-CN"/>
        </w:rPr>
        <w:t>（</w:t>
      </w:r>
      <w:r>
        <w:rPr>
          <w:rFonts w:hint="eastAsia"/>
          <w:lang w:val="en-US" w:eastAsia="zh-CN"/>
        </w:rPr>
        <w:t>七</w:t>
      </w:r>
      <w:r>
        <w:rPr>
          <w:rFonts w:hint="eastAsia"/>
          <w:lang w:eastAsia="zh-CN"/>
        </w:rPr>
        <w:t>）</w:t>
      </w:r>
      <w:r>
        <w:rPr>
          <w:rFonts w:hint="eastAsia"/>
        </w:rPr>
        <w:t>指导全县开发区（园区）行政管理体制改革工作。组织拟订开发区（园区）机构编制管理办法并组织实施，审核开发区（园区）职能配置、机构设置、人员编制和领导职数。</w:t>
      </w:r>
    </w:p>
    <w:p>
      <w:pPr>
        <w:pStyle w:val="22"/>
        <w:rPr>
          <w:rFonts w:hint="eastAsia"/>
        </w:rPr>
      </w:pPr>
      <w:r>
        <w:rPr>
          <w:rFonts w:hint="eastAsia"/>
          <w:lang w:eastAsia="zh-CN"/>
        </w:rPr>
        <w:t>（</w:t>
      </w:r>
      <w:r>
        <w:rPr>
          <w:rFonts w:hint="eastAsia"/>
          <w:lang w:val="en-US" w:eastAsia="zh-CN"/>
        </w:rPr>
        <w:t>八</w:t>
      </w:r>
      <w:r>
        <w:rPr>
          <w:rFonts w:hint="eastAsia"/>
          <w:lang w:eastAsia="zh-CN"/>
        </w:rPr>
        <w:t>）</w:t>
      </w:r>
      <w:r>
        <w:rPr>
          <w:rFonts w:hint="eastAsia"/>
        </w:rPr>
        <w:t>负责全县机构编制的总量控制和动态管理。会同有关部门负责机构编制实名制工作；负责县直机关事业单位编制使用核准；建立健全机构编制部门与有关部门间的协调配合约束机制。</w:t>
      </w:r>
    </w:p>
    <w:p>
      <w:pPr>
        <w:pStyle w:val="22"/>
        <w:rPr>
          <w:rFonts w:hint="eastAsia"/>
        </w:rPr>
      </w:pPr>
      <w:r>
        <w:rPr>
          <w:rFonts w:hint="eastAsia"/>
          <w:lang w:eastAsia="zh-CN"/>
        </w:rPr>
        <w:t>（</w:t>
      </w:r>
      <w:r>
        <w:rPr>
          <w:rFonts w:hint="eastAsia"/>
          <w:lang w:val="en-US" w:eastAsia="zh-CN"/>
        </w:rPr>
        <w:t>九</w:t>
      </w:r>
      <w:r>
        <w:rPr>
          <w:rFonts w:hint="eastAsia"/>
          <w:lang w:eastAsia="zh-CN"/>
        </w:rPr>
        <w:t>）</w:t>
      </w:r>
      <w:r>
        <w:rPr>
          <w:rFonts w:hint="eastAsia"/>
        </w:rPr>
        <w:t>负责对各乡镇、各部门行政、事业单位管理体制和机构改革及机构编制执行情况的跟踪评估和监督检查。负责受理违反机构编制法规、纪律的检举、控告和投诉，对违反机构编制法规、纪律问题进行调查处理。</w:t>
      </w:r>
    </w:p>
    <w:p>
      <w:pPr>
        <w:pStyle w:val="22"/>
        <w:rPr>
          <w:rFonts w:hint="eastAsia"/>
        </w:rPr>
      </w:pPr>
      <w:r>
        <w:rPr>
          <w:rFonts w:hint="eastAsia"/>
          <w:lang w:eastAsia="zh-CN"/>
        </w:rPr>
        <w:t>（</w:t>
      </w:r>
      <w:r>
        <w:rPr>
          <w:rFonts w:hint="eastAsia"/>
          <w:lang w:val="en-US" w:eastAsia="zh-CN"/>
        </w:rPr>
        <w:t>十</w:t>
      </w:r>
      <w:r>
        <w:rPr>
          <w:rFonts w:hint="eastAsia"/>
          <w:lang w:eastAsia="zh-CN"/>
        </w:rPr>
        <w:t>）</w:t>
      </w:r>
      <w:r>
        <w:rPr>
          <w:rFonts w:hint="eastAsia"/>
        </w:rPr>
        <w:t>负责全县事业单位法人登记管理工作。</w:t>
      </w:r>
    </w:p>
    <w:p>
      <w:pPr>
        <w:pStyle w:val="22"/>
        <w:rPr>
          <w:rFonts w:hint="eastAsia"/>
        </w:rPr>
      </w:pPr>
      <w:r>
        <w:rPr>
          <w:rFonts w:hint="eastAsia"/>
          <w:lang w:eastAsia="zh-CN"/>
        </w:rPr>
        <w:t>（</w:t>
      </w:r>
      <w:r>
        <w:rPr>
          <w:rFonts w:hint="eastAsia"/>
          <w:lang w:val="en-US" w:eastAsia="zh-CN"/>
        </w:rPr>
        <w:t>十一</w:t>
      </w:r>
      <w:r>
        <w:rPr>
          <w:rFonts w:hint="eastAsia"/>
          <w:lang w:eastAsia="zh-CN"/>
        </w:rPr>
        <w:t>）</w:t>
      </w:r>
      <w:r>
        <w:rPr>
          <w:rFonts w:hint="eastAsia"/>
        </w:rPr>
        <w:t xml:space="preserve">负责全县机构编制电子政务和信息化工作。负责全县机构编制统计工作；负责机构编制网站的建设管理以及网络安全工作；指导全县党政群机关、事业单位和其他非营利性单位网上名称管理工作。 </w:t>
      </w:r>
    </w:p>
    <w:p>
      <w:pPr>
        <w:pStyle w:val="22"/>
        <w:rPr>
          <w:rFonts w:hint="eastAsia"/>
        </w:rPr>
      </w:pPr>
      <w:r>
        <w:rPr>
          <w:rFonts w:hint="eastAsia"/>
          <w:lang w:eastAsia="zh-CN"/>
        </w:rPr>
        <w:t>（</w:t>
      </w:r>
      <w:r>
        <w:rPr>
          <w:rFonts w:hint="eastAsia"/>
          <w:lang w:val="en-US" w:eastAsia="zh-CN"/>
        </w:rPr>
        <w:t>十二</w:t>
      </w:r>
      <w:r>
        <w:rPr>
          <w:rFonts w:hint="eastAsia"/>
          <w:lang w:eastAsia="zh-CN"/>
        </w:rPr>
        <w:t>）</w:t>
      </w:r>
      <w:r>
        <w:rPr>
          <w:rFonts w:hint="eastAsia"/>
        </w:rPr>
        <w:t>组织开展行政体制改革及机构编制管理创新基础性和前瞻性研究。</w:t>
      </w:r>
    </w:p>
    <w:p>
      <w:pPr>
        <w:pStyle w:val="22"/>
        <w:rPr>
          <w:rFonts w:hint="eastAsia"/>
        </w:rPr>
      </w:pPr>
      <w:r>
        <w:rPr>
          <w:rFonts w:hint="eastAsia"/>
          <w:lang w:eastAsia="zh-CN"/>
        </w:rPr>
        <w:t>（</w:t>
      </w:r>
      <w:r>
        <w:rPr>
          <w:rFonts w:hint="eastAsia"/>
          <w:lang w:val="en-US" w:eastAsia="zh-CN"/>
        </w:rPr>
        <w:t>十三</w:t>
      </w:r>
      <w:r>
        <w:rPr>
          <w:rFonts w:hint="eastAsia"/>
          <w:lang w:eastAsia="zh-CN"/>
        </w:rPr>
        <w:t>）</w:t>
      </w:r>
      <w:r>
        <w:rPr>
          <w:rFonts w:hint="eastAsia"/>
        </w:rPr>
        <w:t>完成县委、县政府和县委机构编制委员会交办的其他任务。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val="en-US" w:eastAsia="zh-CN"/>
              </w:rPr>
              <w:t>中共涞水县委机构编制委员会办公室</w:t>
            </w:r>
            <w:r>
              <w:t>（本级）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10" w:name="_Toc32461"/>
      <w:r>
        <w:rPr>
          <w:rFonts w:ascii="黑体" w:hAnsi="黑体" w:eastAsia="黑体" w:cs="黑体"/>
          <w:color w:val="000000"/>
          <w:sz w:val="32"/>
        </w:rPr>
        <w:t>二、部门预算安排的总体情况</w:t>
      </w:r>
      <w:bookmarkEnd w:id="10"/>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eastAsia="方正仿宋_GBK"/>
          <w:color w:val="000000"/>
          <w:sz w:val="28"/>
        </w:rPr>
      </w:pPr>
      <w:r>
        <w:rPr>
          <w:rFonts w:eastAsia="方正仿宋_GBK"/>
          <w:color w:val="000000"/>
          <w:sz w:val="28"/>
        </w:rPr>
        <w:t>按照预算管理有关规定，目前我部门预算的编制实行综合预算管理，即全部收入和支出都反映在预算中。</w:t>
      </w:r>
      <w:r>
        <w:rPr>
          <w:rFonts w:hint="eastAsia" w:eastAsia="方正仿宋_GBK"/>
          <w:color w:val="000000"/>
          <w:sz w:val="28"/>
          <w:lang w:val="en-US" w:eastAsia="zh-CN"/>
        </w:rPr>
        <w:t>中共涞水县委机构编制委员会办公室</w:t>
      </w:r>
      <w:r>
        <w:rPr>
          <w:rFonts w:eastAsia="方正仿宋_GBK"/>
          <w:color w:val="000000"/>
          <w:sz w:val="28"/>
        </w:rPr>
        <w:t>机关及所属事业单位的收支包含在部门预算中。</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Times New Roman" w:hAnsi="Times New Roman" w:eastAsia="方正仿宋_GBK" w:cs="Times New Roman"/>
          <w:sz w:val="28"/>
          <w:szCs w:val="24"/>
          <w:lang w:val="en-US" w:eastAsia="uk-UA" w:bidi="ar-SA"/>
        </w:rPr>
      </w:pPr>
      <w:r>
        <w:rPr>
          <w:rFonts w:hint="eastAsia" w:eastAsia="方正仿宋_GBK"/>
          <w:color w:val="000000"/>
          <w:sz w:val="28"/>
          <w:lang w:val="en-US" w:eastAsia="uk-UA"/>
        </w:rPr>
        <w:t>按照预算管理有关规定，目前我</w:t>
      </w:r>
      <w:r>
        <w:rPr>
          <w:rFonts w:hint="eastAsia" w:eastAsia="方正仿宋_GBK"/>
          <w:color w:val="000000"/>
          <w:sz w:val="28"/>
          <w:lang w:val="en-US" w:eastAsia="zh-CN"/>
        </w:rPr>
        <w:t>部门</w:t>
      </w:r>
      <w:r>
        <w:rPr>
          <w:rFonts w:hint="eastAsia" w:eastAsia="方正仿宋_GBK"/>
          <w:color w:val="000000"/>
          <w:sz w:val="28"/>
          <w:lang w:val="en-US" w:eastAsia="uk-UA"/>
        </w:rPr>
        <w:t>预算的编制实行综合预算管理，即全部收入和支出都反映在预算中。</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（一）收入说明</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firstLine="560" w:firstLineChars="200"/>
        <w:textAlignment w:val="auto"/>
        <w:outlineLvl w:val="5"/>
        <w:rPr>
          <w:rFonts w:hint="eastAsia" w:eastAsia="方正仿宋_GBK"/>
          <w:color w:val="000000"/>
          <w:sz w:val="28"/>
          <w:lang w:val="en-US" w:eastAsia="uk-UA"/>
        </w:rPr>
      </w:pPr>
      <w:r>
        <w:rPr>
          <w:rFonts w:hint="eastAsia" w:eastAsia="方正仿宋_GBK"/>
          <w:color w:val="000000"/>
          <w:sz w:val="28"/>
          <w:lang w:val="en-US" w:eastAsia="uk-UA"/>
        </w:rPr>
        <w:t>202</w:t>
      </w:r>
      <w:r>
        <w:rPr>
          <w:rFonts w:hint="eastAsia" w:eastAsia="方正仿宋_GBK"/>
          <w:color w:val="000000"/>
          <w:sz w:val="28"/>
          <w:lang w:val="en-US" w:eastAsia="zh-CN"/>
        </w:rPr>
        <w:t>4</w:t>
      </w:r>
      <w:r>
        <w:rPr>
          <w:rFonts w:hint="eastAsia" w:eastAsia="方正仿宋_GBK"/>
          <w:color w:val="000000"/>
          <w:sz w:val="28"/>
          <w:lang w:val="en-US" w:eastAsia="uk-UA"/>
        </w:rPr>
        <w:t>年本</w:t>
      </w:r>
      <w:r>
        <w:rPr>
          <w:rFonts w:hint="eastAsia" w:eastAsia="方正仿宋_GBK"/>
          <w:color w:val="000000"/>
          <w:sz w:val="28"/>
          <w:lang w:val="en-US" w:eastAsia="zh-CN"/>
        </w:rPr>
        <w:t>部门</w:t>
      </w:r>
      <w:r>
        <w:rPr>
          <w:rFonts w:hint="eastAsia" w:eastAsia="方正仿宋_GBK"/>
          <w:color w:val="000000"/>
          <w:sz w:val="28"/>
          <w:lang w:val="en-US" w:eastAsia="uk-UA"/>
        </w:rPr>
        <w:t>预算收入总额为</w:t>
      </w:r>
      <w:r>
        <w:rPr>
          <w:rFonts w:hint="eastAsia" w:eastAsia="方正仿宋_GBK"/>
          <w:color w:val="000000"/>
          <w:sz w:val="28"/>
          <w:lang w:val="en-US" w:eastAsia="zh-CN"/>
        </w:rPr>
        <w:t>107.05</w:t>
      </w:r>
      <w:r>
        <w:rPr>
          <w:rFonts w:hint="eastAsia" w:eastAsia="方正仿宋_GBK"/>
          <w:color w:val="000000"/>
          <w:sz w:val="28"/>
          <w:lang w:val="en-US" w:eastAsia="uk-UA"/>
        </w:rPr>
        <w:t>万元，其中：一般公共财政拨款收入</w:t>
      </w:r>
      <w:r>
        <w:rPr>
          <w:rFonts w:hint="eastAsia" w:eastAsia="方正仿宋_GBK"/>
          <w:color w:val="000000"/>
          <w:sz w:val="28"/>
          <w:lang w:val="en-US" w:eastAsia="zh-CN"/>
        </w:rPr>
        <w:t>107.05</w:t>
      </w:r>
      <w:r>
        <w:rPr>
          <w:rFonts w:hint="eastAsia" w:eastAsia="方正仿宋_GBK"/>
          <w:color w:val="000000"/>
          <w:sz w:val="28"/>
          <w:lang w:val="en-US" w:eastAsia="uk-UA"/>
        </w:rPr>
        <w:t>万元，政府性基金预算拨款收入0万元，国有资产经营预算拨款收入0万元，其他来源收入0万元。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（二）支出说明</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firstLine="560" w:firstLineChars="200"/>
        <w:textAlignment w:val="auto"/>
        <w:outlineLvl w:val="5"/>
        <w:rPr>
          <w:rFonts w:hint="eastAsia" w:eastAsia="方正仿宋_GBK"/>
          <w:color w:val="000000"/>
          <w:sz w:val="28"/>
          <w:lang w:val="en-US" w:eastAsia="uk-UA"/>
        </w:rPr>
      </w:pPr>
      <w:r>
        <w:rPr>
          <w:rFonts w:hint="eastAsia" w:eastAsia="方正仿宋_GBK"/>
          <w:color w:val="000000"/>
          <w:sz w:val="28"/>
          <w:lang w:val="en-US" w:eastAsia="uk-UA"/>
        </w:rPr>
        <w:t>202</w:t>
      </w:r>
      <w:r>
        <w:rPr>
          <w:rFonts w:hint="eastAsia" w:eastAsia="方正仿宋_GBK"/>
          <w:color w:val="000000"/>
          <w:sz w:val="28"/>
          <w:lang w:val="en-US" w:eastAsia="zh-CN"/>
        </w:rPr>
        <w:t>4</w:t>
      </w:r>
      <w:r>
        <w:rPr>
          <w:rFonts w:hint="eastAsia" w:eastAsia="方正仿宋_GBK"/>
          <w:color w:val="000000"/>
          <w:sz w:val="28"/>
          <w:lang w:val="en-US" w:eastAsia="uk-UA"/>
        </w:rPr>
        <w:t>年安排预算支出</w:t>
      </w:r>
      <w:r>
        <w:rPr>
          <w:rFonts w:hint="eastAsia" w:eastAsia="方正仿宋_GBK"/>
          <w:color w:val="000000"/>
          <w:sz w:val="28"/>
          <w:lang w:val="en-US" w:eastAsia="zh-CN"/>
        </w:rPr>
        <w:t>107.05</w:t>
      </w:r>
      <w:r>
        <w:rPr>
          <w:rFonts w:hint="eastAsia" w:eastAsia="方正仿宋_GBK"/>
          <w:color w:val="000000"/>
          <w:sz w:val="28"/>
          <w:lang w:val="en-US" w:eastAsia="uk-UA"/>
        </w:rPr>
        <w:t>万元，其中：人员支出</w:t>
      </w:r>
      <w:r>
        <w:rPr>
          <w:rFonts w:hint="eastAsia" w:eastAsia="方正仿宋_GBK"/>
          <w:color w:val="000000"/>
          <w:sz w:val="28"/>
          <w:lang w:val="en-US" w:eastAsia="zh-CN"/>
        </w:rPr>
        <w:t>96.09</w:t>
      </w:r>
      <w:r>
        <w:rPr>
          <w:rFonts w:hint="eastAsia" w:eastAsia="方正仿宋_GBK"/>
          <w:color w:val="000000"/>
          <w:sz w:val="28"/>
          <w:lang w:val="en-US" w:eastAsia="uk-UA"/>
        </w:rPr>
        <w:t>万元，日常公用支出</w:t>
      </w:r>
      <w:r>
        <w:rPr>
          <w:rFonts w:hint="eastAsia" w:eastAsia="方正仿宋_GBK"/>
          <w:color w:val="000000"/>
          <w:sz w:val="28"/>
          <w:lang w:val="en-US" w:eastAsia="zh-CN"/>
        </w:rPr>
        <w:t>8.96</w:t>
      </w:r>
      <w:r>
        <w:rPr>
          <w:rFonts w:hint="eastAsia" w:eastAsia="方正仿宋_GBK"/>
          <w:color w:val="000000"/>
          <w:sz w:val="28"/>
          <w:lang w:val="en-US" w:eastAsia="uk-UA"/>
        </w:rPr>
        <w:t>万元。项目支出</w:t>
      </w:r>
      <w:r>
        <w:rPr>
          <w:rFonts w:hint="eastAsia" w:eastAsia="方正仿宋_GBK"/>
          <w:color w:val="000000"/>
          <w:sz w:val="28"/>
          <w:lang w:val="en-US" w:eastAsia="zh-CN"/>
        </w:rPr>
        <w:t>2.00</w:t>
      </w:r>
      <w:r>
        <w:rPr>
          <w:rFonts w:hint="eastAsia" w:eastAsia="方正仿宋_GBK"/>
          <w:color w:val="000000"/>
          <w:sz w:val="28"/>
          <w:lang w:val="en-US" w:eastAsia="uk-UA"/>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（三）比上年增减情况</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firstLine="560" w:firstLineChars="200"/>
        <w:textAlignment w:val="auto"/>
        <w:outlineLvl w:val="5"/>
        <w:rPr>
          <w:rFonts w:hint="eastAsia" w:eastAsia="方正仿宋_GBK"/>
          <w:color w:val="000000"/>
          <w:sz w:val="28"/>
          <w:lang w:val="en-US" w:eastAsia="uk-UA"/>
        </w:rPr>
      </w:pPr>
      <w:r>
        <w:rPr>
          <w:rFonts w:hint="eastAsia" w:eastAsia="方正仿宋_GBK"/>
          <w:color w:val="000000"/>
          <w:sz w:val="28"/>
          <w:lang w:val="en-US" w:eastAsia="uk-UA"/>
        </w:rPr>
        <w:t>本年度本</w:t>
      </w:r>
      <w:r>
        <w:rPr>
          <w:rFonts w:hint="eastAsia" w:eastAsia="方正仿宋_GBK"/>
          <w:color w:val="000000"/>
          <w:sz w:val="28"/>
          <w:lang w:val="en-US" w:eastAsia="zh-CN"/>
        </w:rPr>
        <w:t>部门</w:t>
      </w:r>
      <w:r>
        <w:rPr>
          <w:rFonts w:hint="eastAsia" w:eastAsia="方正仿宋_GBK"/>
          <w:color w:val="000000"/>
          <w:sz w:val="28"/>
          <w:lang w:val="en-US" w:eastAsia="uk-UA"/>
        </w:rPr>
        <w:t>预算收支安排</w:t>
      </w:r>
      <w:r>
        <w:rPr>
          <w:rFonts w:hint="eastAsia" w:eastAsia="方正仿宋_GBK"/>
          <w:color w:val="000000"/>
          <w:sz w:val="28"/>
          <w:lang w:val="en-US" w:eastAsia="zh-CN"/>
        </w:rPr>
        <w:t>107.05</w:t>
      </w:r>
      <w:r>
        <w:rPr>
          <w:rFonts w:hint="eastAsia" w:eastAsia="方正仿宋_GBK"/>
          <w:color w:val="000000"/>
          <w:sz w:val="28"/>
          <w:lang w:val="en-US" w:eastAsia="uk-UA"/>
        </w:rPr>
        <w:t>万元，较上年增加</w:t>
      </w:r>
      <w:r>
        <w:rPr>
          <w:rFonts w:hint="eastAsia" w:eastAsia="方正仿宋_GBK"/>
          <w:color w:val="000000"/>
          <w:sz w:val="28"/>
          <w:lang w:val="en-US" w:eastAsia="zh-CN"/>
        </w:rPr>
        <w:t>6.40</w:t>
      </w:r>
      <w:r>
        <w:rPr>
          <w:rFonts w:hint="eastAsia" w:eastAsia="方正仿宋_GBK"/>
          <w:color w:val="000000"/>
          <w:sz w:val="28"/>
          <w:lang w:val="en-US" w:eastAsia="uk-UA"/>
        </w:rPr>
        <w:t>万元。其中基本支出增加</w:t>
      </w:r>
      <w:r>
        <w:rPr>
          <w:rFonts w:hint="eastAsia" w:eastAsia="方正仿宋_GBK"/>
          <w:color w:val="000000"/>
          <w:sz w:val="28"/>
          <w:lang w:val="en-US" w:eastAsia="zh-CN"/>
        </w:rPr>
        <w:t>12.74</w:t>
      </w:r>
      <w:r>
        <w:rPr>
          <w:rFonts w:hint="eastAsia" w:eastAsia="方正仿宋_GBK"/>
          <w:color w:val="000000"/>
          <w:sz w:val="28"/>
          <w:lang w:val="en-US" w:eastAsia="uk-UA"/>
        </w:rPr>
        <w:t>万元，主要是工资的增加。公用经费支出增加</w:t>
      </w:r>
      <w:r>
        <w:rPr>
          <w:rFonts w:hint="eastAsia" w:eastAsia="方正仿宋_GBK"/>
          <w:color w:val="000000"/>
          <w:sz w:val="28"/>
          <w:lang w:val="en-US" w:eastAsia="zh-CN"/>
        </w:rPr>
        <w:t>0.57</w:t>
      </w:r>
      <w:r>
        <w:rPr>
          <w:rFonts w:hint="eastAsia" w:eastAsia="方正仿宋_GBK"/>
          <w:color w:val="000000"/>
          <w:sz w:val="28"/>
          <w:lang w:val="en-US" w:eastAsia="uk-UA"/>
        </w:rPr>
        <w:t>万元，主要是办公经费、差旅费、工会经费、职工福利费的增加。项目支出</w:t>
      </w:r>
      <w:r>
        <w:rPr>
          <w:rFonts w:hint="eastAsia" w:eastAsia="方正仿宋_GBK"/>
          <w:color w:val="000000"/>
          <w:sz w:val="28"/>
          <w:lang w:val="en-US" w:eastAsia="zh-CN"/>
        </w:rPr>
        <w:t>较上年减少6.34万元，主要是中文域名运行维护项目因需要续费单位减少，项目支出相应减少</w:t>
      </w:r>
      <w:r>
        <w:rPr>
          <w:rFonts w:hint="eastAsia" w:eastAsia="方正仿宋_GBK"/>
          <w:color w:val="000000"/>
          <w:sz w:val="28"/>
          <w:lang w:val="en-US" w:eastAsia="uk-UA"/>
        </w:rPr>
        <w:t>。</w:t>
      </w:r>
    </w:p>
    <w:p>
      <w:pPr>
        <w:spacing w:line="500" w:lineRule="exact"/>
        <w:ind w:firstLine="560"/>
        <w:rPr>
          <w:rFonts w:eastAsia="方正仿宋_GBK"/>
          <w:color w:val="000000"/>
          <w:sz w:val="28"/>
        </w:rPr>
      </w:pPr>
    </w:p>
    <w:p>
      <w:pPr>
        <w:spacing w:before="10" w:after="10" w:line="360" w:lineRule="auto"/>
        <w:ind w:firstLine="640" w:firstLineChars="200"/>
        <w:outlineLvl w:val="2"/>
      </w:pPr>
      <w:bookmarkStart w:id="11" w:name="_Toc31900"/>
      <w:r>
        <w:rPr>
          <w:rFonts w:ascii="黑体" w:hAnsi="黑体" w:eastAsia="黑体" w:cs="黑体"/>
          <w:color w:val="000000"/>
          <w:sz w:val="32"/>
        </w:rPr>
        <w:t>三、机关运行经费安排情况</w:t>
      </w:r>
      <w:bookmarkEnd w:id="11"/>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val="en-US" w:eastAsia="zh-CN"/>
        </w:rPr>
        <w:t>中共涞水县委机构编制委员会办公室</w:t>
      </w:r>
      <w:r>
        <w:rPr>
          <w:rFonts w:hint="eastAsia" w:eastAsia="方正仿宋_GBK"/>
          <w:color w:val="000000"/>
          <w:sz w:val="28"/>
        </w:rPr>
        <w:t>部门预算安排机关运行经费支出</w:t>
      </w:r>
      <w:r>
        <w:rPr>
          <w:rFonts w:hint="eastAsia" w:eastAsia="方正仿宋_GBK"/>
          <w:color w:val="000000"/>
          <w:sz w:val="28"/>
          <w:lang w:val="en-US" w:eastAsia="zh-CN"/>
        </w:rPr>
        <w:t>8.96</w:t>
      </w:r>
      <w:r>
        <w:rPr>
          <w:rFonts w:hint="eastAsia" w:eastAsia="方正仿宋_GBK"/>
          <w:color w:val="000000"/>
          <w:sz w:val="28"/>
        </w:rPr>
        <w:t>万元，其中包括办公费</w:t>
      </w:r>
      <w:r>
        <w:rPr>
          <w:rFonts w:hint="eastAsia" w:eastAsia="方正仿宋_GBK"/>
          <w:color w:val="000000"/>
          <w:sz w:val="28"/>
          <w:lang w:val="en-US" w:eastAsia="zh-CN"/>
        </w:rPr>
        <w:t>1.98</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万元、公务交通补贴</w:t>
      </w:r>
      <w:r>
        <w:rPr>
          <w:rFonts w:hint="eastAsia" w:eastAsia="方正仿宋_GBK"/>
          <w:color w:val="000000"/>
          <w:sz w:val="28"/>
          <w:lang w:val="en-US" w:eastAsia="zh-CN"/>
        </w:rPr>
        <w:t>3.6</w:t>
      </w:r>
      <w:r>
        <w:rPr>
          <w:rFonts w:hint="eastAsia" w:eastAsia="方正仿宋_GBK"/>
          <w:color w:val="000000"/>
          <w:sz w:val="28"/>
        </w:rPr>
        <w:t>万元、工会经费</w:t>
      </w:r>
      <w:r>
        <w:rPr>
          <w:rFonts w:hint="eastAsia" w:eastAsia="方正仿宋_GBK"/>
          <w:color w:val="000000"/>
          <w:sz w:val="28"/>
          <w:lang w:val="en-US" w:eastAsia="zh-CN"/>
        </w:rPr>
        <w:t>0.78</w:t>
      </w:r>
      <w:r>
        <w:rPr>
          <w:rFonts w:hint="eastAsia" w:eastAsia="方正仿宋_GBK"/>
          <w:color w:val="000000"/>
          <w:sz w:val="28"/>
        </w:rPr>
        <w:t>万元、在职人员及退休人员福利费</w:t>
      </w:r>
      <w:r>
        <w:rPr>
          <w:rFonts w:hint="eastAsia" w:eastAsia="方正仿宋_GBK"/>
          <w:color w:val="000000"/>
          <w:sz w:val="28"/>
          <w:lang w:val="en-US" w:eastAsia="zh-CN"/>
        </w:rPr>
        <w:t>1.22</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离、退休人员公用经费0.12万元。</w:t>
      </w:r>
    </w:p>
    <w:p>
      <w:pPr>
        <w:spacing w:before="10" w:after="10" w:line="360" w:lineRule="auto"/>
        <w:ind w:firstLine="640"/>
        <w:outlineLvl w:val="2"/>
      </w:pPr>
      <w:bookmarkStart w:id="12" w:name="_Toc28600"/>
      <w:r>
        <w:rPr>
          <w:rFonts w:ascii="黑体" w:hAnsi="黑体" w:eastAsia="黑体" w:cs="黑体"/>
          <w:color w:val="000000"/>
          <w:sz w:val="32"/>
        </w:rPr>
        <w:t>四、财政拨款“三公”经费预算情况及增减变化原因</w:t>
      </w:r>
      <w:bookmarkEnd w:id="12"/>
    </w:p>
    <w:tbl>
      <w:tblPr>
        <w:tblStyle w:val="8"/>
        <w:tblW w:w="14124" w:type="dxa"/>
        <w:tblInd w:w="0" w:type="dxa"/>
        <w:tblLayout w:type="fixed"/>
        <w:tblCellMar>
          <w:top w:w="0" w:type="dxa"/>
          <w:left w:w="108" w:type="dxa"/>
          <w:bottom w:w="0" w:type="dxa"/>
          <w:right w:w="108" w:type="dxa"/>
        </w:tblCellMar>
      </w:tblPr>
      <w:tblGrid>
        <w:gridCol w:w="2894"/>
        <w:gridCol w:w="1400"/>
        <w:gridCol w:w="1276"/>
        <w:gridCol w:w="2444"/>
        <w:gridCol w:w="6110"/>
      </w:tblGrid>
      <w:tr>
        <w:tblPrEx>
          <w:tblCellMar>
            <w:top w:w="0" w:type="dxa"/>
            <w:left w:w="108" w:type="dxa"/>
            <w:bottom w:w="0" w:type="dxa"/>
            <w:right w:w="108" w:type="dxa"/>
          </w:tblCellMar>
        </w:tblPrEx>
        <w:trPr>
          <w:trHeight w:val="221" w:hRule="atLeast"/>
        </w:trPr>
        <w:tc>
          <w:tcPr>
            <w:tcW w:w="2894" w:type="dxa"/>
            <w:tcBorders>
              <w:top w:val="nil"/>
              <w:left w:val="nil"/>
              <w:bottom w:val="nil"/>
              <w:right w:val="nil"/>
            </w:tcBorders>
            <w:vAlign w:val="center"/>
          </w:tcPr>
          <w:p>
            <w:pPr>
              <w:rPr>
                <w:rFonts w:ascii="宋体" w:hAnsi="宋体" w:eastAsia="宋体" w:cs="宋体"/>
              </w:rPr>
            </w:pPr>
          </w:p>
        </w:tc>
        <w:tc>
          <w:tcPr>
            <w:tcW w:w="1400" w:type="dxa"/>
            <w:tcBorders>
              <w:top w:val="nil"/>
              <w:left w:val="nil"/>
              <w:bottom w:val="nil"/>
              <w:right w:val="nil"/>
            </w:tcBorders>
            <w:vAlign w:val="center"/>
          </w:tcPr>
          <w:p>
            <w:pPr>
              <w:rPr>
                <w:rFonts w:ascii="宋体" w:hAnsi="宋体" w:eastAsia="宋体" w:cs="宋体"/>
              </w:rPr>
            </w:pPr>
          </w:p>
        </w:tc>
        <w:tc>
          <w:tcPr>
            <w:tcW w:w="1276" w:type="dxa"/>
            <w:tcBorders>
              <w:top w:val="nil"/>
              <w:left w:val="nil"/>
              <w:bottom w:val="nil"/>
              <w:right w:val="nil"/>
            </w:tcBorders>
            <w:vAlign w:val="center"/>
          </w:tcPr>
          <w:p>
            <w:pPr>
              <w:rPr>
                <w:rFonts w:ascii="宋体" w:hAnsi="宋体" w:eastAsia="宋体" w:cs="宋体"/>
              </w:rPr>
            </w:pPr>
          </w:p>
        </w:tc>
        <w:tc>
          <w:tcPr>
            <w:tcW w:w="2444" w:type="dxa"/>
            <w:tcBorders>
              <w:top w:val="nil"/>
              <w:left w:val="nil"/>
              <w:bottom w:val="nil"/>
              <w:right w:val="nil"/>
            </w:tcBorders>
            <w:vAlign w:val="center"/>
          </w:tcPr>
          <w:p>
            <w:pPr>
              <w:rPr>
                <w:rFonts w:ascii="宋体" w:hAnsi="宋体" w:eastAsia="宋体" w:cs="宋体"/>
              </w:rPr>
            </w:pPr>
          </w:p>
        </w:tc>
        <w:tc>
          <w:tcPr>
            <w:tcW w:w="6110"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8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4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27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244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611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582"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40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27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12"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40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27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40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276"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05"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40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27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90"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40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27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25"/>
      </w:pPr>
    </w:p>
    <w:p>
      <w:pPr>
        <w:spacing w:before="10" w:after="10" w:line="360" w:lineRule="auto"/>
        <w:ind w:firstLine="640"/>
        <w:outlineLvl w:val="2"/>
      </w:pPr>
      <w:bookmarkStart w:id="13" w:name="_Toc13499"/>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30" w:firstLineChars="225"/>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202</w:t>
      </w:r>
      <w:r>
        <w:rPr>
          <w:rFonts w:hint="eastAsia" w:eastAsia="方正仿宋_GBK" w:cs="Times New Roman"/>
          <w:sz w:val="28"/>
          <w:szCs w:val="24"/>
          <w:lang w:val="en-US" w:eastAsia="zh-CN" w:bidi="ar-SA"/>
        </w:rPr>
        <w:t>4</w:t>
      </w:r>
      <w:r>
        <w:rPr>
          <w:rFonts w:hint="eastAsia" w:ascii="Times New Roman" w:hAnsi="Times New Roman" w:eastAsia="方正仿宋_GBK" w:cs="Times New Roman"/>
          <w:sz w:val="28"/>
          <w:szCs w:val="24"/>
          <w:lang w:val="en-US" w:eastAsia="uk-UA" w:bidi="ar-SA"/>
        </w:rPr>
        <w:t>年，本部门总体绩效目标为巩固拓展机构改革成果。继续对党政部门“三定”规定执行情况进行跟踪，严格落实“三定”规定要求，聚焦主责主业，突出重点关键，推进机构、职能、人员全面融合，着眼推动部门规范履职尽责，建立健全政府部门权责清单动态调整机制。</w:t>
      </w:r>
      <w:r>
        <w:rPr>
          <w:rFonts w:hint="eastAsia" w:eastAsia="方正仿宋_GBK" w:cs="Times New Roman"/>
          <w:sz w:val="28"/>
          <w:szCs w:val="24"/>
          <w:lang w:val="en-US" w:eastAsia="zh-CN" w:bidi="ar-SA"/>
        </w:rPr>
        <w:t>一是</w:t>
      </w:r>
      <w:r>
        <w:rPr>
          <w:rFonts w:hint="eastAsia" w:ascii="Times New Roman" w:hAnsi="Times New Roman" w:eastAsia="方正仿宋_GBK" w:cs="Times New Roman"/>
          <w:sz w:val="28"/>
          <w:szCs w:val="24"/>
          <w:lang w:val="en-US" w:eastAsia="uk-UA" w:bidi="ar-SA"/>
        </w:rPr>
        <w:t>继续做好新一轮机构改革工作。跟进省委、市委深化地方改革工作部署，做好机构人员信息的实时动态调整，认真研究涉及改革部门的职责任务、职能定位，谋划提出统筹优化设置机构、科学合理配置职能和统筹使用编制资源的意见建议，按省市批复，完成县级机构改革机构设置。</w:t>
      </w:r>
      <w:r>
        <w:rPr>
          <w:rFonts w:hint="eastAsia" w:eastAsia="方正仿宋_GBK" w:cs="Times New Roman"/>
          <w:sz w:val="28"/>
          <w:szCs w:val="24"/>
          <w:lang w:val="en-US" w:eastAsia="zh-CN" w:bidi="ar-SA"/>
        </w:rPr>
        <w:t>二是</w:t>
      </w:r>
      <w:r>
        <w:rPr>
          <w:rFonts w:hint="eastAsia" w:ascii="Times New Roman" w:hAnsi="Times New Roman" w:eastAsia="方正仿宋_GBK" w:cs="Times New Roman"/>
          <w:sz w:val="28"/>
          <w:szCs w:val="24"/>
          <w:lang w:val="en-US" w:eastAsia="uk-UA" w:bidi="ar-SA"/>
        </w:rPr>
        <w:t>巩固拓展开发区体制改革成果。按照上级要求，落实好开发区管理机构和人员编制管理。</w:t>
      </w:r>
      <w:r>
        <w:rPr>
          <w:rFonts w:hint="eastAsia" w:eastAsia="方正仿宋_GBK" w:cs="Times New Roman"/>
          <w:sz w:val="28"/>
          <w:szCs w:val="24"/>
          <w:lang w:val="en-US" w:eastAsia="zh-CN" w:bidi="ar-SA"/>
        </w:rPr>
        <w:t>三是</w:t>
      </w:r>
      <w:r>
        <w:rPr>
          <w:rFonts w:hint="eastAsia" w:ascii="Times New Roman" w:hAnsi="Times New Roman" w:eastAsia="方正仿宋_GBK" w:cs="Times New Roman"/>
          <w:sz w:val="28"/>
          <w:szCs w:val="24"/>
          <w:lang w:val="en-US" w:eastAsia="uk-UA" w:bidi="ar-SA"/>
        </w:rPr>
        <w:t>清理规范议事协调机构。跟进上级统一部署，加强政策研究，提出清理、保留、整合以及规范设置和管理的意见建议。四是深化拓展权责清单工作，按照《河北省政府部门权责清单管理办法（试行）》规定，持续推进权责清单编制与公开，运行实施、动态调整等各项制度落实。五是持续推进重点领域改革。按照上级部署，继续推进疾控机构改革，配合做好国防动员体制改革和公安系统大部门、大警种制改革，深化教育、科学、人才相关体制机制改革。</w:t>
      </w:r>
      <w:bookmarkStart w:id="18" w:name="_GoBack"/>
      <w:bookmarkEnd w:id="18"/>
    </w:p>
    <w:p>
      <w:pPr>
        <w:spacing w:line="500" w:lineRule="exact"/>
        <w:ind w:firstLine="560"/>
      </w:pPr>
      <w:r>
        <w:rPr>
          <w:rFonts w:eastAsia="方正仿宋_GBK"/>
          <w:color w:val="000000"/>
          <w:sz w:val="28"/>
        </w:rPr>
        <w:t>（二）分项绩效目标</w:t>
      </w:r>
    </w:p>
    <w:p>
      <w:pPr>
        <w:pStyle w:val="27"/>
      </w:pPr>
      <w:r>
        <w:rPr>
          <w:rFonts w:hint="eastAsia"/>
          <w:lang w:eastAsia="zh-CN"/>
        </w:rPr>
        <w:t>1、</w:t>
      </w:r>
      <w:r>
        <w:t>机关办公运转保障</w:t>
      </w:r>
    </w:p>
    <w:p>
      <w:pPr>
        <w:pStyle w:val="27"/>
      </w:pPr>
      <w:r>
        <w:t>保证机关协调运行，下属事业单位工作正常开展，加强人事管理及干部队伍教育培训，做好机关财务和资产管理，实施基础设施建设及维修，严格办公设备购置管理，做好各级会议组织和管理。</w:t>
      </w:r>
    </w:p>
    <w:p>
      <w:pPr>
        <w:pStyle w:val="27"/>
        <w:numPr>
          <w:ilvl w:val="0"/>
          <w:numId w:val="1"/>
        </w:numPr>
        <w:ind w:left="-80" w:leftChars="0" w:firstLineChars="0"/>
        <w:rPr>
          <w:rFonts w:hint="eastAsia"/>
          <w:lang w:val="en-US" w:eastAsia="zh-CN"/>
        </w:rPr>
      </w:pPr>
      <w:r>
        <w:rPr>
          <w:rFonts w:hint="eastAsia"/>
          <w:lang w:val="en-US" w:eastAsia="zh-CN"/>
        </w:rPr>
        <w:t>中文域名维护正常运行</w:t>
      </w:r>
    </w:p>
    <w:p>
      <w:pPr>
        <w:pStyle w:val="27"/>
        <w:numPr>
          <w:ilvl w:val="0"/>
          <w:numId w:val="0"/>
        </w:numPr>
        <w:ind w:firstLine="560" w:firstLineChars="200"/>
      </w:pPr>
      <w:r>
        <w:t>按照省、市财政部门相关政策要求和县委、县政府任务安排，</w:t>
      </w:r>
      <w:r>
        <w:rPr>
          <w:rFonts w:hint="eastAsia" w:ascii="Times New Roman" w:hAnsi="Times New Roman" w:eastAsia="方正仿宋_GBK" w:cs="Times New Roman"/>
          <w:sz w:val="28"/>
          <w:szCs w:val="24"/>
          <w:lang w:val="en-US" w:eastAsia="uk-UA" w:bidi="ar-SA"/>
        </w:rPr>
        <w:t>为全县机关事业单位完成了中文域名注册管理续费和网站挂标工作。</w:t>
      </w:r>
    </w:p>
    <w:p>
      <w:pPr>
        <w:pStyle w:val="27"/>
      </w:pPr>
      <w:r>
        <w:rPr>
          <w:rFonts w:hint="eastAsia"/>
          <w:lang w:eastAsia="zh-CN"/>
        </w:rPr>
        <w:t>3、</w:t>
      </w:r>
      <w:r>
        <w:rPr>
          <w:rFonts w:hint="eastAsia" w:ascii="Times New Roman" w:hAnsi="Times New Roman" w:eastAsia="方正仿宋_GBK" w:cs="Times New Roman"/>
          <w:sz w:val="28"/>
          <w:szCs w:val="24"/>
          <w:lang w:val="en-US" w:eastAsia="uk-UA" w:bidi="ar-SA"/>
        </w:rPr>
        <w:t>不断深化事业单位改革</w:t>
      </w:r>
    </w:p>
    <w:p>
      <w:pPr>
        <w:pStyle w:val="27"/>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严格落实中央和省委、市委、县委决策部署，优化事业单位布局结构，推进机构功能重塑再造和整体效能提升，建立健全事业单位管理制度和机制。巩固承担行政职能事业单位改革成果，统筹推进机构整合撤并。</w:t>
      </w:r>
    </w:p>
    <w:p>
      <w:pPr>
        <w:spacing w:line="500" w:lineRule="exact"/>
        <w:ind w:firstLine="932" w:firstLineChars="333"/>
      </w:pPr>
      <w:r>
        <w:rPr>
          <w:rFonts w:eastAsia="方正仿宋_GBK"/>
          <w:color w:val="000000"/>
          <w:sz w:val="28"/>
        </w:rPr>
        <w:t>（三）工作保障措施</w:t>
      </w:r>
    </w:p>
    <w:p>
      <w:pPr>
        <w:pStyle w:val="28"/>
      </w:pPr>
      <w:r>
        <w:t>为保证年度发展规划目标的实现，特制定以下保障措施：</w:t>
      </w:r>
    </w:p>
    <w:p>
      <w:pPr>
        <w:pStyle w:val="27"/>
        <w:keepNext w:val="0"/>
        <w:keepLines w:val="0"/>
        <w:pageBreakBefore w:val="0"/>
        <w:widowControl/>
        <w:numPr>
          <w:ilvl w:val="0"/>
          <w:numId w:val="0"/>
        </w:numPr>
        <w:kinsoku/>
        <w:wordWrap/>
        <w:overflowPunct/>
        <w:topLinePunct w:val="0"/>
        <w:autoSpaceDE/>
        <w:autoSpaceDN/>
        <w:bidi w:val="0"/>
        <w:adjustRightInd/>
        <w:snapToGrid/>
        <w:ind w:left="0" w:firstLine="560" w:firstLineChars="200"/>
        <w:textAlignment w:val="auto"/>
        <w:rPr>
          <w:rFonts w:hint="eastAsia" w:ascii="Times New Roman" w:hAnsi="Times New Roman" w:eastAsia="方正仿宋_GBK" w:cs="Times New Roman"/>
          <w:sz w:val="28"/>
          <w:szCs w:val="24"/>
          <w:lang w:val="en-US" w:eastAsia="uk-UA" w:bidi="ar-SA"/>
        </w:rPr>
      </w:pPr>
      <w:r>
        <w:rPr>
          <w:rFonts w:hint="eastAsia" w:cs="Times New Roman"/>
          <w:sz w:val="28"/>
          <w:szCs w:val="24"/>
          <w:lang w:val="en-US" w:eastAsia="zh-CN" w:bidi="ar-SA"/>
        </w:rPr>
        <w:t>1、</w:t>
      </w:r>
      <w:r>
        <w:rPr>
          <w:rFonts w:hint="eastAsia" w:ascii="Times New Roman" w:hAnsi="Times New Roman" w:eastAsia="方正仿宋_GBK" w:cs="Times New Roman"/>
          <w:sz w:val="28"/>
          <w:szCs w:val="24"/>
          <w:lang w:val="en-US" w:eastAsia="uk-UA" w:bidi="ar-SA"/>
        </w:rPr>
        <w:t>完善制度建设。</w:t>
      </w:r>
    </w:p>
    <w:p>
      <w:pPr>
        <w:pStyle w:val="27"/>
        <w:keepNext w:val="0"/>
        <w:keepLines w:val="0"/>
        <w:pageBreakBefore w:val="0"/>
        <w:widowControl/>
        <w:numPr>
          <w:ilvl w:val="0"/>
          <w:numId w:val="0"/>
        </w:numPr>
        <w:kinsoku/>
        <w:wordWrap/>
        <w:overflowPunct/>
        <w:topLinePunct w:val="0"/>
        <w:autoSpaceDE/>
        <w:autoSpaceDN/>
        <w:bidi w:val="0"/>
        <w:adjustRightInd/>
        <w:snapToGrid/>
        <w:ind w:left="0"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完善预算绩效管理制度、资金管理办法、工作保障制度等，为全年绩效目标的实现奠定制度基础。</w:t>
      </w:r>
    </w:p>
    <w:p>
      <w:pPr>
        <w:pStyle w:val="27"/>
        <w:keepNext w:val="0"/>
        <w:keepLines w:val="0"/>
        <w:pageBreakBefore w:val="0"/>
        <w:widowControl/>
        <w:numPr>
          <w:ilvl w:val="0"/>
          <w:numId w:val="0"/>
        </w:numPr>
        <w:kinsoku/>
        <w:wordWrap/>
        <w:overflowPunct/>
        <w:topLinePunct w:val="0"/>
        <w:autoSpaceDE/>
        <w:autoSpaceDN/>
        <w:bidi w:val="0"/>
        <w:adjustRightInd/>
        <w:snapToGrid/>
        <w:ind w:left="0" w:leftChars="0" w:firstLine="560" w:firstLineChars="200"/>
        <w:textAlignment w:val="auto"/>
        <w:rPr>
          <w:rFonts w:hint="eastAsia" w:ascii="Times New Roman" w:hAnsi="Times New Roman" w:eastAsia="方正仿宋_GBK" w:cs="Times New Roman"/>
          <w:sz w:val="28"/>
          <w:szCs w:val="24"/>
          <w:lang w:val="en-US" w:eastAsia="uk-UA" w:bidi="ar-SA"/>
        </w:rPr>
      </w:pPr>
      <w:r>
        <w:rPr>
          <w:rFonts w:hint="eastAsia"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加强支出管理。</w:t>
      </w:r>
    </w:p>
    <w:p>
      <w:pPr>
        <w:pStyle w:val="27"/>
        <w:keepNext w:val="0"/>
        <w:keepLines w:val="0"/>
        <w:pageBreakBefore w:val="0"/>
        <w:widowControl/>
        <w:numPr>
          <w:ilvl w:val="0"/>
          <w:numId w:val="0"/>
        </w:numPr>
        <w:kinsoku/>
        <w:wordWrap/>
        <w:overflowPunct/>
        <w:topLinePunct w:val="0"/>
        <w:autoSpaceDE/>
        <w:autoSpaceDN/>
        <w:bidi w:val="0"/>
        <w:adjustRightInd/>
        <w:snapToGrid/>
        <w:ind w:left="0" w:leftChars="0"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优化支出结构、编细编实预算、加快履行政府采购手段、尽快启动项目、及时支付资金、按规定及时下达资金等多种措施，确保支出进度达标。</w:t>
      </w:r>
    </w:p>
    <w:p>
      <w:pPr>
        <w:pStyle w:val="27"/>
        <w:keepNext w:val="0"/>
        <w:keepLines w:val="0"/>
        <w:pageBreakBefore w:val="0"/>
        <w:widowControl/>
        <w:numPr>
          <w:ilvl w:val="0"/>
          <w:numId w:val="0"/>
        </w:numPr>
        <w:kinsoku/>
        <w:wordWrap/>
        <w:overflowPunct/>
        <w:topLinePunct w:val="0"/>
        <w:autoSpaceDE/>
        <w:autoSpaceDN/>
        <w:bidi w:val="0"/>
        <w:adjustRightInd/>
        <w:snapToGrid/>
        <w:ind w:leftChars="200"/>
        <w:textAlignment w:val="auto"/>
        <w:rPr>
          <w:rFonts w:hint="eastAsia" w:ascii="Times New Roman" w:hAnsi="Times New Roman" w:eastAsia="方正仿宋_GBK" w:cs="Times New Roman"/>
          <w:sz w:val="28"/>
          <w:szCs w:val="24"/>
          <w:lang w:val="en-US" w:eastAsia="uk-UA" w:bidi="ar-SA"/>
        </w:rPr>
      </w:pPr>
      <w:r>
        <w:rPr>
          <w:rFonts w:hint="eastAsia"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加强绩效运行监控。</w:t>
      </w:r>
    </w:p>
    <w:p>
      <w:pPr>
        <w:pStyle w:val="27"/>
        <w:keepNext w:val="0"/>
        <w:keepLines w:val="0"/>
        <w:pageBreakBefore w:val="0"/>
        <w:widowControl/>
        <w:numPr>
          <w:ilvl w:val="0"/>
          <w:numId w:val="0"/>
        </w:numPr>
        <w:kinsoku/>
        <w:wordWrap/>
        <w:overflowPunct/>
        <w:topLinePunct w:val="0"/>
        <w:autoSpaceDE/>
        <w:autoSpaceDN/>
        <w:bidi w:val="0"/>
        <w:adjustRightInd/>
        <w:snapToGrid/>
        <w:ind w:left="0" w:leftChars="0"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按要求开展绩效运行监控，发现问题及时采取措施，确保绩效目标如期保质实现。</w:t>
      </w:r>
    </w:p>
    <w:p>
      <w:pPr>
        <w:pStyle w:val="27"/>
        <w:keepNext w:val="0"/>
        <w:keepLines w:val="0"/>
        <w:pageBreakBefore w:val="0"/>
        <w:widowControl/>
        <w:kinsoku/>
        <w:wordWrap/>
        <w:overflowPunct/>
        <w:topLinePunct w:val="0"/>
        <w:autoSpaceDE/>
        <w:autoSpaceDN/>
        <w:bidi w:val="0"/>
        <w:adjustRightInd/>
        <w:snapToGrid/>
        <w:ind w:left="0" w:firstLine="560" w:firstLineChars="200"/>
        <w:textAlignment w:val="auto"/>
        <w:rPr>
          <w:rFonts w:hint="eastAsia" w:ascii="Times New Roman" w:hAnsi="Times New Roman" w:eastAsia="方正仿宋_GBK" w:cs="Times New Roman"/>
          <w:sz w:val="28"/>
          <w:szCs w:val="24"/>
          <w:lang w:val="en-US" w:eastAsia="uk-UA" w:bidi="ar-SA"/>
        </w:rPr>
      </w:pPr>
      <w:r>
        <w:rPr>
          <w:rFonts w:hint="eastAsia" w:cs="Times New Roman"/>
          <w:sz w:val="28"/>
          <w:szCs w:val="24"/>
          <w:lang w:val="en-US" w:eastAsia="zh-CN" w:bidi="ar-SA"/>
        </w:rPr>
        <w:t>4、</w:t>
      </w:r>
      <w:r>
        <w:rPr>
          <w:rFonts w:hint="eastAsia" w:ascii="Times New Roman" w:hAnsi="Times New Roman" w:eastAsia="方正仿宋_GBK" w:cs="Times New Roman"/>
          <w:sz w:val="28"/>
          <w:szCs w:val="24"/>
          <w:lang w:val="en-US" w:eastAsia="uk-UA" w:bidi="ar-SA"/>
        </w:rPr>
        <w:t>做好绩效自评。</w:t>
      </w:r>
    </w:p>
    <w:p>
      <w:pPr>
        <w:pStyle w:val="27"/>
        <w:keepNext w:val="0"/>
        <w:keepLines w:val="0"/>
        <w:pageBreakBefore w:val="0"/>
        <w:widowControl/>
        <w:kinsoku/>
        <w:wordWrap/>
        <w:overflowPunct/>
        <w:topLinePunct w:val="0"/>
        <w:autoSpaceDE/>
        <w:autoSpaceDN/>
        <w:bidi w:val="0"/>
        <w:adjustRightInd/>
        <w:snapToGrid/>
        <w:ind w:left="0"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按要求开展上年度部门预算绩效自评和重点评价工作，对评价中发现的问题及时整改，调整优化支出结构，提高财政资金使用效益。</w:t>
      </w:r>
    </w:p>
    <w:p>
      <w:pPr>
        <w:pStyle w:val="27"/>
        <w:keepNext w:val="0"/>
        <w:keepLines w:val="0"/>
        <w:pageBreakBefore w:val="0"/>
        <w:widowControl/>
        <w:numPr>
          <w:ilvl w:val="0"/>
          <w:numId w:val="2"/>
        </w:numPr>
        <w:kinsoku/>
        <w:wordWrap/>
        <w:overflowPunct/>
        <w:topLinePunct w:val="0"/>
        <w:autoSpaceDE/>
        <w:autoSpaceDN/>
        <w:bidi w:val="0"/>
        <w:adjustRightInd/>
        <w:snapToGrid/>
        <w:ind w:left="0"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规范财务资产管理。</w:t>
      </w:r>
    </w:p>
    <w:p>
      <w:pPr>
        <w:pStyle w:val="27"/>
        <w:keepNext w:val="0"/>
        <w:keepLines w:val="0"/>
        <w:pageBreakBefore w:val="0"/>
        <w:widowControl/>
        <w:numPr>
          <w:ilvl w:val="0"/>
          <w:numId w:val="0"/>
        </w:numPr>
        <w:kinsoku/>
        <w:wordWrap/>
        <w:overflowPunct/>
        <w:topLinePunct w:val="0"/>
        <w:autoSpaceDE/>
        <w:autoSpaceDN/>
        <w:bidi w:val="0"/>
        <w:adjustRightInd/>
        <w:snapToGrid/>
        <w:ind w:left="0"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完善财务管理制度，严格审批程序，加强固定资产登记、使用和报废处理管理，做到支出合理，物尽其用。</w:t>
      </w:r>
    </w:p>
    <w:p>
      <w:pPr>
        <w:pStyle w:val="27"/>
        <w:keepNext w:val="0"/>
        <w:keepLines w:val="0"/>
        <w:pageBreakBefore w:val="0"/>
        <w:widowControl/>
        <w:kinsoku/>
        <w:wordWrap/>
        <w:overflowPunct/>
        <w:topLinePunct w:val="0"/>
        <w:autoSpaceDE/>
        <w:autoSpaceDN/>
        <w:bidi w:val="0"/>
        <w:adjustRightInd/>
        <w:snapToGrid/>
        <w:ind w:left="0" w:firstLine="560" w:firstLineChars="200"/>
        <w:textAlignment w:val="auto"/>
        <w:rPr>
          <w:rFonts w:hint="eastAsia" w:ascii="Times New Roman" w:hAnsi="Times New Roman" w:eastAsia="方正仿宋_GBK" w:cs="Times New Roman"/>
          <w:sz w:val="28"/>
          <w:szCs w:val="24"/>
          <w:lang w:val="en-US" w:eastAsia="uk-UA" w:bidi="ar-SA"/>
        </w:rPr>
      </w:pPr>
      <w:r>
        <w:rPr>
          <w:rFonts w:hint="eastAsia" w:cs="Times New Roman"/>
          <w:sz w:val="28"/>
          <w:szCs w:val="24"/>
          <w:lang w:val="en-US" w:eastAsia="zh-CN" w:bidi="ar-SA"/>
        </w:rPr>
        <w:t>6、</w:t>
      </w:r>
      <w:r>
        <w:rPr>
          <w:rFonts w:hint="eastAsia" w:ascii="Times New Roman" w:hAnsi="Times New Roman" w:eastAsia="方正仿宋_GBK" w:cs="Times New Roman"/>
          <w:sz w:val="28"/>
          <w:szCs w:val="24"/>
          <w:lang w:val="en-US" w:eastAsia="uk-UA" w:bidi="ar-SA"/>
        </w:rPr>
        <w:t>加强内部监督。</w:t>
      </w:r>
    </w:p>
    <w:p>
      <w:pPr>
        <w:pStyle w:val="27"/>
        <w:keepNext w:val="0"/>
        <w:keepLines w:val="0"/>
        <w:pageBreakBefore w:val="0"/>
        <w:widowControl/>
        <w:kinsoku/>
        <w:wordWrap/>
        <w:overflowPunct/>
        <w:topLinePunct w:val="0"/>
        <w:autoSpaceDE/>
        <w:autoSpaceDN/>
        <w:bidi w:val="0"/>
        <w:adjustRightInd/>
        <w:snapToGrid/>
        <w:ind w:left="0" w:firstLine="560" w:firstLineChars="20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27"/>
        <w:keepNext w:val="0"/>
        <w:keepLines w:val="0"/>
        <w:pageBreakBefore w:val="0"/>
        <w:widowControl/>
        <w:kinsoku/>
        <w:wordWrap/>
        <w:overflowPunct/>
        <w:topLinePunct w:val="0"/>
        <w:autoSpaceDE/>
        <w:autoSpaceDN/>
        <w:bidi w:val="0"/>
        <w:adjustRightInd/>
        <w:snapToGrid/>
        <w:ind w:left="0" w:firstLine="560" w:firstLineChars="200"/>
        <w:textAlignment w:val="auto"/>
        <w:rPr>
          <w:rFonts w:hint="eastAsia" w:cs="Times New Roman"/>
          <w:sz w:val="28"/>
          <w:szCs w:val="24"/>
          <w:lang w:val="en-US" w:eastAsia="uk-UA" w:bidi="ar-SA"/>
        </w:rPr>
      </w:pPr>
      <w:r>
        <w:rPr>
          <w:rFonts w:hint="eastAsia" w:cs="Times New Roman"/>
          <w:sz w:val="28"/>
          <w:szCs w:val="24"/>
          <w:lang w:val="en-US" w:eastAsia="zh-CN" w:bidi="ar-SA"/>
        </w:rPr>
        <w:t>7、</w:t>
      </w:r>
      <w:r>
        <w:rPr>
          <w:rFonts w:hint="eastAsia" w:cs="Times New Roman"/>
          <w:sz w:val="28"/>
          <w:szCs w:val="24"/>
          <w:lang w:val="en-US" w:eastAsia="uk-UA" w:bidi="ar-SA"/>
        </w:rPr>
        <w:t>加强宣传培训调研等。</w:t>
      </w:r>
    </w:p>
    <w:p>
      <w:pPr>
        <w:pStyle w:val="27"/>
        <w:keepNext w:val="0"/>
        <w:keepLines w:val="0"/>
        <w:pageBreakBefore w:val="0"/>
        <w:widowControl/>
        <w:kinsoku/>
        <w:wordWrap/>
        <w:overflowPunct/>
        <w:topLinePunct w:val="0"/>
        <w:autoSpaceDE/>
        <w:autoSpaceDN/>
        <w:bidi w:val="0"/>
        <w:adjustRightInd/>
        <w:snapToGrid/>
        <w:ind w:left="0" w:firstLine="560" w:firstLineChars="200"/>
        <w:textAlignment w:val="auto"/>
        <w:rPr>
          <w:rFonts w:hint="eastAsia" w:ascii="Times New Roman" w:hAnsi="Times New Roman" w:eastAsia="方正仿宋_GBK" w:cs="Times New Roman"/>
          <w:sz w:val="28"/>
          <w:szCs w:val="24"/>
          <w:lang w:val="en-US" w:eastAsia="uk-UA" w:bidi="ar-SA"/>
        </w:rPr>
      </w:pPr>
      <w:r>
        <w:rPr>
          <w:rFonts w:hint="eastAsia" w:cs="Times New Roman"/>
          <w:sz w:val="28"/>
          <w:szCs w:val="24"/>
          <w:lang w:val="en-US" w:eastAsia="uk-UA" w:bidi="ar-SA"/>
        </w:rPr>
        <w:t>加强人员培训，提高本部门职工业务素质；加强调研，提出优化财政资金配置、提高资金使用效益的意见；加大宣传力度，强化预算绩效管理意识，促进预算绩效管理水平进一步提</w:t>
      </w:r>
      <w:r>
        <w:rPr>
          <w:rFonts w:hint="eastAsia" w:ascii="Times New Roman" w:hAnsi="Times New Roman" w:eastAsia="方正仿宋_GBK" w:cs="Times New Roman"/>
          <w:sz w:val="28"/>
          <w:szCs w:val="24"/>
          <w:lang w:val="en-US" w:eastAsia="uk-UA" w:bidi="ar-SA"/>
        </w:rPr>
        <w:t>高。</w:t>
      </w:r>
    </w:p>
    <w:p>
      <w:pPr>
        <w:pStyle w:val="27"/>
        <w:rPr>
          <w:rFonts w:hint="eastAsia" w:ascii="Times New Roman" w:hAnsi="Times New Roman" w:eastAsia="方正仿宋_GBK" w:cs="Times New Roman"/>
          <w:sz w:val="28"/>
          <w:szCs w:val="24"/>
          <w:lang w:val="en-US" w:eastAsia="uk-UA" w:bidi="ar-SA"/>
        </w:rPr>
        <w:sectPr>
          <w:footerReference r:id="rId5" w:type="default"/>
          <w:pgSz w:w="16839" w:h="11907" w:orient="landscape"/>
          <w:pgMar w:top="1304" w:right="1984" w:bottom="1304" w:left="1134" w:header="851" w:footer="992" w:gutter="0"/>
          <w:cols w:space="720" w:num="1"/>
          <w:docGrid w:type="lines" w:linePitch="312" w:charSpace="0"/>
        </w:sectPr>
      </w:pPr>
    </w:p>
    <w:p>
      <w:pPr>
        <w:pStyle w:val="28"/>
      </w:pPr>
    </w:p>
    <w:p/>
    <w:p>
      <w:pPr>
        <w:keepNext w:val="0"/>
        <w:keepLines w:val="0"/>
        <w:pageBreakBefore w:val="0"/>
        <w:widowControl/>
        <w:kinsoku/>
        <w:wordWrap/>
        <w:overflowPunct/>
        <w:topLinePunct w:val="0"/>
        <w:autoSpaceDE/>
        <w:autoSpaceDN/>
        <w:bidi w:val="0"/>
        <w:adjustRightInd/>
        <w:snapToGrid/>
        <w:ind w:firstLine="643" w:firstLineChars="200"/>
        <w:textAlignment w:val="auto"/>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keepNext w:val="0"/>
        <w:keepLines w:val="0"/>
        <w:pageBreakBefore w:val="0"/>
        <w:widowControl/>
        <w:kinsoku/>
        <w:wordWrap/>
        <w:overflowPunct/>
        <w:topLinePunct w:val="0"/>
        <w:autoSpaceDE/>
        <w:autoSpaceDN/>
        <w:bidi w:val="0"/>
        <w:adjustRightInd/>
        <w:snapToGrid/>
        <w:ind w:firstLine="560" w:firstLineChars="200"/>
        <w:textAlignment w:val="auto"/>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中文域名运行</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default" w:eastAsia="方正书宋_GBK"/>
                <w:lang w:val="en-US" w:eastAsia="zh-CN"/>
              </w:rPr>
            </w:pPr>
            <w:r>
              <w:t>1.</w:t>
            </w:r>
            <w:r>
              <w:rPr>
                <w:rFonts w:hint="eastAsia"/>
                <w:lang w:val="en-US" w:eastAsia="zh-CN"/>
              </w:rPr>
              <w:t>保障中文域名正常运行维护</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8"/>
            </w:pPr>
            <w:r>
              <w:rPr>
                <w:rFonts w:hint="eastAsia"/>
              </w:rPr>
              <w:t>数量指标</w:t>
            </w:r>
          </w:p>
        </w:tc>
        <w:tc>
          <w:tcPr>
            <w:tcW w:w="2835" w:type="dxa"/>
            <w:vAlign w:val="center"/>
          </w:tcPr>
          <w:p>
            <w:pPr>
              <w:pStyle w:val="18"/>
              <w:jc w:val="left"/>
            </w:pPr>
            <w:r>
              <w:rPr>
                <w:rFonts w:hint="eastAsia"/>
              </w:rPr>
              <w:t>覆盖单位</w:t>
            </w:r>
          </w:p>
        </w:tc>
        <w:tc>
          <w:tcPr>
            <w:tcW w:w="2835" w:type="dxa"/>
            <w:vAlign w:val="center"/>
          </w:tcPr>
          <w:p>
            <w:pPr>
              <w:pStyle w:val="18"/>
              <w:jc w:val="left"/>
            </w:pPr>
            <w:r>
              <w:rPr>
                <w:rFonts w:hint="eastAsia"/>
              </w:rPr>
              <w:t>覆盖单位</w:t>
            </w:r>
          </w:p>
        </w:tc>
        <w:tc>
          <w:tcPr>
            <w:tcW w:w="2551" w:type="dxa"/>
            <w:vAlign w:val="center"/>
          </w:tcPr>
          <w:p>
            <w:pPr>
              <w:pStyle w:val="17"/>
              <w:rPr>
                <w:rFonts w:hint="default"/>
                <w:lang w:val="en-US"/>
              </w:rPr>
            </w:pPr>
            <w:r>
              <w:rPr>
                <w:rFonts w:hint="eastAsia"/>
                <w:lang w:val="en-US" w:eastAsia="zh-CN"/>
              </w:rPr>
              <w:t>25个</w:t>
            </w:r>
          </w:p>
        </w:tc>
        <w:tc>
          <w:tcPr>
            <w:tcW w:w="2268" w:type="dxa"/>
            <w:vAlign w:val="center"/>
          </w:tcPr>
          <w:p>
            <w:pPr>
              <w:pStyle w:val="17"/>
              <w:rPr>
                <w:rFonts w:hint="default"/>
                <w:lang w:val="en-US"/>
              </w:rPr>
            </w:pPr>
            <w:r>
              <w:rPr>
                <w:rFonts w:hint="eastAsia"/>
                <w:lang w:val="en-US" w:eastAsia="zh-CN"/>
              </w:rPr>
              <w:t>行政事业单位个数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vAlign w:val="center"/>
          </w:tcPr>
          <w:p>
            <w:pPr>
              <w:pStyle w:val="18"/>
              <w:jc w:val="left"/>
            </w:pPr>
            <w:r>
              <w:rPr>
                <w:rFonts w:hint="eastAsia"/>
              </w:rPr>
              <w:t>机关运转率（%）</w:t>
            </w:r>
          </w:p>
        </w:tc>
        <w:tc>
          <w:tcPr>
            <w:tcW w:w="2835" w:type="dxa"/>
            <w:vAlign w:val="center"/>
          </w:tcPr>
          <w:p>
            <w:pPr>
              <w:pStyle w:val="18"/>
              <w:jc w:val="left"/>
            </w:pPr>
            <w:r>
              <w:rPr>
                <w:rFonts w:hint="eastAsia"/>
              </w:rPr>
              <w:t>机关运转率（%）</w:t>
            </w:r>
          </w:p>
        </w:tc>
        <w:tc>
          <w:tcPr>
            <w:tcW w:w="2551" w:type="dxa"/>
            <w:vAlign w:val="center"/>
          </w:tcPr>
          <w:p>
            <w:pPr>
              <w:pStyle w:val="17"/>
            </w:pPr>
            <w:r>
              <w:rPr>
                <w:rFonts w:hint="eastAsia"/>
                <w:lang w:val="en-US" w:eastAsia="zh-CN"/>
              </w:rPr>
              <w:t>100%</w:t>
            </w:r>
          </w:p>
        </w:tc>
        <w:tc>
          <w:tcPr>
            <w:tcW w:w="2268" w:type="dxa"/>
            <w:vAlign w:val="center"/>
          </w:tcPr>
          <w:p>
            <w:pPr>
              <w:pStyle w:val="17"/>
            </w:pPr>
            <w:r>
              <w:rPr>
                <w:rFonts w:hint="eastAsia"/>
              </w:rP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vAlign w:val="center"/>
          </w:tcPr>
          <w:p>
            <w:pPr>
              <w:pStyle w:val="18"/>
              <w:jc w:val="left"/>
            </w:pPr>
            <w:r>
              <w:rPr>
                <w:rFonts w:hint="eastAsia"/>
              </w:rPr>
              <w:t>项目按时完成率</w:t>
            </w:r>
          </w:p>
        </w:tc>
        <w:tc>
          <w:tcPr>
            <w:tcW w:w="2835" w:type="dxa"/>
            <w:vAlign w:val="center"/>
          </w:tcPr>
          <w:p>
            <w:pPr>
              <w:pStyle w:val="18"/>
              <w:jc w:val="left"/>
            </w:pPr>
            <w:r>
              <w:rPr>
                <w:rFonts w:hint="eastAsia"/>
              </w:rPr>
              <w:t>项目完成率</w:t>
            </w:r>
          </w:p>
        </w:tc>
        <w:tc>
          <w:tcPr>
            <w:tcW w:w="2551" w:type="dxa"/>
            <w:vAlign w:val="center"/>
          </w:tcPr>
          <w:p>
            <w:pPr>
              <w:pStyle w:val="17"/>
            </w:pPr>
            <w:r>
              <w:t>≥</w:t>
            </w:r>
            <w:r>
              <w:rPr>
                <w:rFonts w:hint="eastAsia"/>
                <w:lang w:val="en-US" w:eastAsia="zh-CN"/>
              </w:rPr>
              <w:t>95</w:t>
            </w:r>
            <w:r>
              <w:t>%</w:t>
            </w:r>
          </w:p>
        </w:tc>
        <w:tc>
          <w:tcPr>
            <w:tcW w:w="2268" w:type="dxa"/>
            <w:vAlign w:val="center"/>
          </w:tcPr>
          <w:p>
            <w:pPr>
              <w:pStyle w:val="17"/>
            </w:pPr>
            <w:r>
              <w:rPr>
                <w:rFonts w:hint="eastAsia"/>
                <w:lang w:val="en-US" w:eastAsia="zh-CN"/>
              </w:rP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vAlign w:val="center"/>
          </w:tcPr>
          <w:p>
            <w:pPr>
              <w:pStyle w:val="18"/>
              <w:jc w:val="left"/>
            </w:pPr>
            <w:r>
              <w:rPr>
                <w:rFonts w:hint="eastAsia"/>
              </w:rPr>
              <w:t>预算控制数</w:t>
            </w:r>
          </w:p>
        </w:tc>
        <w:tc>
          <w:tcPr>
            <w:tcW w:w="2835" w:type="dxa"/>
            <w:vAlign w:val="center"/>
          </w:tcPr>
          <w:p>
            <w:pPr>
              <w:pStyle w:val="18"/>
              <w:jc w:val="left"/>
            </w:pPr>
            <w:r>
              <w:rPr>
                <w:rFonts w:hint="eastAsia"/>
              </w:rPr>
              <w:t>预算控制数</w:t>
            </w:r>
          </w:p>
        </w:tc>
        <w:tc>
          <w:tcPr>
            <w:tcW w:w="2551" w:type="dxa"/>
            <w:vAlign w:val="center"/>
          </w:tcPr>
          <w:p>
            <w:pPr>
              <w:pStyle w:val="17"/>
            </w:pPr>
            <w:r>
              <w:t>≤</w:t>
            </w:r>
            <w:r>
              <w:rPr>
                <w:rFonts w:hint="eastAsia"/>
                <w:lang w:val="en-US" w:eastAsia="zh-CN"/>
              </w:rPr>
              <w:t>0.5</w:t>
            </w:r>
            <w:r>
              <w:t>万元</w:t>
            </w:r>
          </w:p>
        </w:tc>
        <w:tc>
          <w:tcPr>
            <w:tcW w:w="2268" w:type="dxa"/>
            <w:vAlign w:val="center"/>
          </w:tcPr>
          <w:p>
            <w:pPr>
              <w:pStyle w:val="17"/>
            </w:pPr>
            <w:r>
              <w:rPr>
                <w:rFonts w:hint="eastAsia"/>
                <w:lang w:val="en-US" w:eastAsia="zh-CN"/>
              </w:rP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8"/>
            </w:pPr>
            <w:r>
              <w:rPr>
                <w:rFonts w:hint="eastAsia"/>
              </w:rPr>
              <w:t>社会效益指标</w:t>
            </w:r>
          </w:p>
        </w:tc>
        <w:tc>
          <w:tcPr>
            <w:tcW w:w="2835" w:type="dxa"/>
            <w:vAlign w:val="center"/>
          </w:tcPr>
          <w:p>
            <w:pPr>
              <w:pStyle w:val="18"/>
            </w:pPr>
            <w:r>
              <w:rPr>
                <w:rFonts w:hint="eastAsia"/>
              </w:rPr>
              <w:t>保障机关单位正常运转</w:t>
            </w:r>
          </w:p>
        </w:tc>
        <w:tc>
          <w:tcPr>
            <w:tcW w:w="2835" w:type="dxa"/>
            <w:vAlign w:val="center"/>
          </w:tcPr>
          <w:p>
            <w:pPr>
              <w:pStyle w:val="18"/>
            </w:pPr>
            <w:r>
              <w:rPr>
                <w:rFonts w:hint="eastAsia"/>
              </w:rPr>
              <w:t>保障机关单位正常运转</w:t>
            </w:r>
          </w:p>
        </w:tc>
        <w:tc>
          <w:tcPr>
            <w:tcW w:w="2551" w:type="dxa"/>
            <w:vAlign w:val="center"/>
          </w:tcPr>
          <w:p>
            <w:pPr>
              <w:pStyle w:val="17"/>
            </w:pPr>
            <w:r>
              <w:rPr>
                <w:rFonts w:hint="eastAsia"/>
                <w:lang w:val="en-US" w:eastAsia="zh-CN"/>
              </w:rPr>
              <w:t>良好</w:t>
            </w:r>
          </w:p>
        </w:tc>
        <w:tc>
          <w:tcPr>
            <w:tcW w:w="2268" w:type="dxa"/>
            <w:vAlign w:val="center"/>
          </w:tcPr>
          <w:p>
            <w:pPr>
              <w:pStyle w:val="17"/>
            </w:pPr>
            <w:r>
              <w:rPr>
                <w:rFonts w:hint="eastAsia"/>
                <w:lang w:val="en-US" w:eastAsia="zh-CN"/>
              </w:rPr>
              <w:t>维护机关正常办公秩序，保障机关正常运转</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2、机关办公运转保障经费绩效目标表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1.保障机关正常运转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jc w:val="left"/>
              <w:rPr>
                <w:rFonts w:hint="default" w:eastAsia="方正书宋_GBK"/>
                <w:lang w:val="en-US" w:eastAsia="zh-CN"/>
              </w:rPr>
            </w:pPr>
            <w:r>
              <w:rPr>
                <w:rFonts w:hint="eastAsia"/>
                <w:lang w:val="en-US" w:eastAsia="zh-CN"/>
              </w:rPr>
              <w:t>覆盖单位</w:t>
            </w:r>
          </w:p>
        </w:tc>
        <w:tc>
          <w:tcPr>
            <w:tcW w:w="2835" w:type="dxa"/>
            <w:vAlign w:val="center"/>
          </w:tcPr>
          <w:p>
            <w:pPr>
              <w:pStyle w:val="17"/>
              <w:jc w:val="left"/>
              <w:rPr>
                <w:rFonts w:hint="default" w:eastAsia="方正书宋_GBK"/>
                <w:lang w:val="en-US" w:eastAsia="zh-CN"/>
              </w:rPr>
            </w:pPr>
            <w:r>
              <w:rPr>
                <w:rFonts w:hint="eastAsia"/>
                <w:lang w:val="en-US" w:eastAsia="zh-CN"/>
              </w:rPr>
              <w:t>覆盖单位</w:t>
            </w:r>
          </w:p>
        </w:tc>
        <w:tc>
          <w:tcPr>
            <w:tcW w:w="2551" w:type="dxa"/>
            <w:vAlign w:val="center"/>
          </w:tcPr>
          <w:p>
            <w:pPr>
              <w:pStyle w:val="17"/>
              <w:rPr>
                <w:rFonts w:hint="default" w:eastAsia="方正书宋_GBK"/>
                <w:lang w:val="en-US" w:eastAsia="zh-CN"/>
              </w:rPr>
            </w:pPr>
            <w:r>
              <w:rPr>
                <w:rFonts w:hint="eastAsia"/>
                <w:lang w:val="en-US" w:eastAsia="zh-CN"/>
              </w:rPr>
              <w:t>100%</w:t>
            </w:r>
          </w:p>
        </w:tc>
        <w:tc>
          <w:tcPr>
            <w:tcW w:w="2268" w:type="dxa"/>
            <w:vAlign w:val="center"/>
          </w:tcPr>
          <w:p>
            <w:pPr>
              <w:pStyle w:val="17"/>
              <w:rPr>
                <w:rFonts w:hint="default" w:eastAsia="方正书宋_GBK"/>
                <w:lang w:val="en-US" w:eastAsia="zh-CN"/>
              </w:rPr>
            </w:pPr>
            <w:r>
              <w:rPr>
                <w:rFonts w:hint="eastAsia"/>
                <w:lang w:val="en-US" w:eastAsia="zh-CN"/>
              </w:rPr>
              <w:t>保障单位行政事业正常运行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8"/>
              <w:jc w:val="left"/>
            </w:pPr>
            <w:r>
              <w:rPr>
                <w:rFonts w:hint="eastAsia"/>
              </w:rPr>
              <w:t>机关运转率（%）</w:t>
            </w:r>
          </w:p>
        </w:tc>
        <w:tc>
          <w:tcPr>
            <w:tcW w:w="2835" w:type="dxa"/>
            <w:vAlign w:val="center"/>
          </w:tcPr>
          <w:p>
            <w:pPr>
              <w:pStyle w:val="18"/>
              <w:jc w:val="left"/>
            </w:pPr>
            <w:r>
              <w:rPr>
                <w:rFonts w:hint="eastAsia"/>
              </w:rPr>
              <w:t>机关运转率（%）</w:t>
            </w:r>
          </w:p>
        </w:tc>
        <w:tc>
          <w:tcPr>
            <w:tcW w:w="2551" w:type="dxa"/>
            <w:vAlign w:val="center"/>
          </w:tcPr>
          <w:p>
            <w:pPr>
              <w:pStyle w:val="17"/>
            </w:pPr>
            <w:r>
              <w:rPr>
                <w:rFonts w:hint="eastAsia"/>
                <w:lang w:val="en-US" w:eastAsia="zh-CN"/>
              </w:rPr>
              <w:t>100%</w:t>
            </w:r>
          </w:p>
        </w:tc>
        <w:tc>
          <w:tcPr>
            <w:tcW w:w="2268" w:type="dxa"/>
            <w:vAlign w:val="center"/>
          </w:tcPr>
          <w:p>
            <w:pPr>
              <w:pStyle w:val="17"/>
            </w:pPr>
            <w:r>
              <w:rPr>
                <w:rFonts w:hint="eastAsia"/>
              </w:rP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8"/>
              <w:jc w:val="left"/>
            </w:pPr>
            <w:r>
              <w:rPr>
                <w:rFonts w:hint="eastAsia"/>
              </w:rPr>
              <w:t>项目按时完成率</w:t>
            </w:r>
          </w:p>
        </w:tc>
        <w:tc>
          <w:tcPr>
            <w:tcW w:w="2835" w:type="dxa"/>
            <w:vAlign w:val="center"/>
          </w:tcPr>
          <w:p>
            <w:pPr>
              <w:pStyle w:val="18"/>
              <w:jc w:val="left"/>
            </w:pPr>
            <w:r>
              <w:rPr>
                <w:rFonts w:hint="eastAsia"/>
              </w:rPr>
              <w:t>项目完成率</w:t>
            </w:r>
          </w:p>
        </w:tc>
        <w:tc>
          <w:tcPr>
            <w:tcW w:w="2551" w:type="dxa"/>
            <w:vAlign w:val="center"/>
          </w:tcPr>
          <w:p>
            <w:pPr>
              <w:pStyle w:val="17"/>
            </w:pPr>
            <w:r>
              <w:t>≥</w:t>
            </w:r>
            <w:r>
              <w:rPr>
                <w:rFonts w:hint="eastAsia"/>
                <w:lang w:val="en-US" w:eastAsia="zh-CN"/>
              </w:rPr>
              <w:t>95</w:t>
            </w:r>
            <w:r>
              <w:t>%</w:t>
            </w:r>
          </w:p>
        </w:tc>
        <w:tc>
          <w:tcPr>
            <w:tcW w:w="2268" w:type="dxa"/>
            <w:vAlign w:val="center"/>
          </w:tcPr>
          <w:p>
            <w:pPr>
              <w:pStyle w:val="17"/>
              <w:rPr>
                <w:rFonts w:hint="default" w:eastAsia="方正书宋_GBK"/>
                <w:lang w:val="en-US" w:eastAsia="zh-CN"/>
              </w:rPr>
            </w:pPr>
            <w:r>
              <w:rPr>
                <w:rFonts w:hint="eastAsia"/>
                <w:lang w:val="en-US" w:eastAsia="zh-CN"/>
              </w:rP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8"/>
              <w:jc w:val="left"/>
            </w:pPr>
            <w:r>
              <w:rPr>
                <w:rFonts w:hint="eastAsia"/>
              </w:rPr>
              <w:t>预算控制数</w:t>
            </w:r>
          </w:p>
        </w:tc>
        <w:tc>
          <w:tcPr>
            <w:tcW w:w="2835" w:type="dxa"/>
            <w:vAlign w:val="center"/>
          </w:tcPr>
          <w:p>
            <w:pPr>
              <w:pStyle w:val="18"/>
              <w:jc w:val="left"/>
            </w:pPr>
            <w:r>
              <w:rPr>
                <w:rFonts w:hint="eastAsia"/>
              </w:rPr>
              <w:t>预算控制数</w:t>
            </w:r>
          </w:p>
        </w:tc>
        <w:tc>
          <w:tcPr>
            <w:tcW w:w="2551" w:type="dxa"/>
            <w:vAlign w:val="center"/>
          </w:tcPr>
          <w:p>
            <w:pPr>
              <w:pStyle w:val="17"/>
            </w:pPr>
            <w:r>
              <w:t>≤</w:t>
            </w:r>
            <w:r>
              <w:rPr>
                <w:rFonts w:hint="eastAsia"/>
                <w:lang w:val="en-US" w:eastAsia="zh-CN"/>
              </w:rPr>
              <w:t>1.5</w:t>
            </w:r>
            <w:r>
              <w:t>万元</w:t>
            </w:r>
          </w:p>
        </w:tc>
        <w:tc>
          <w:tcPr>
            <w:tcW w:w="2268" w:type="dxa"/>
            <w:vAlign w:val="center"/>
          </w:tcPr>
          <w:p>
            <w:pPr>
              <w:pStyle w:val="17"/>
              <w:rPr>
                <w:rFonts w:hint="default" w:eastAsia="方正书宋_GBK"/>
                <w:lang w:val="en-US" w:eastAsia="zh-CN"/>
              </w:rPr>
            </w:pPr>
            <w:r>
              <w:rPr>
                <w:rFonts w:hint="eastAsia"/>
                <w:lang w:val="en-US" w:eastAsia="zh-CN"/>
              </w:rP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8"/>
            </w:pPr>
            <w:r>
              <w:rPr>
                <w:rFonts w:hint="eastAsia"/>
              </w:rPr>
              <w:t>社会效益指标</w:t>
            </w:r>
          </w:p>
        </w:tc>
        <w:tc>
          <w:tcPr>
            <w:tcW w:w="2835" w:type="dxa"/>
            <w:vAlign w:val="center"/>
          </w:tcPr>
          <w:p>
            <w:pPr>
              <w:pStyle w:val="18"/>
            </w:pPr>
            <w:r>
              <w:rPr>
                <w:rFonts w:hint="eastAsia"/>
              </w:rPr>
              <w:t>保障机关单位正常运转</w:t>
            </w:r>
          </w:p>
        </w:tc>
        <w:tc>
          <w:tcPr>
            <w:tcW w:w="2835" w:type="dxa"/>
            <w:vAlign w:val="center"/>
          </w:tcPr>
          <w:p>
            <w:pPr>
              <w:pStyle w:val="18"/>
            </w:pPr>
            <w:r>
              <w:rPr>
                <w:rFonts w:hint="eastAsia"/>
              </w:rPr>
              <w:t>保障机关单位正常运转</w:t>
            </w:r>
          </w:p>
        </w:tc>
        <w:tc>
          <w:tcPr>
            <w:tcW w:w="2551" w:type="dxa"/>
            <w:vAlign w:val="center"/>
          </w:tcPr>
          <w:p>
            <w:pPr>
              <w:pStyle w:val="17"/>
              <w:rPr>
                <w:rFonts w:hint="default" w:eastAsia="方正书宋_GBK"/>
                <w:lang w:val="en-US" w:eastAsia="zh-CN"/>
              </w:rPr>
            </w:pPr>
            <w:r>
              <w:rPr>
                <w:rFonts w:hint="eastAsia"/>
                <w:lang w:val="en-US" w:eastAsia="zh-CN"/>
              </w:rPr>
              <w:t>良好</w:t>
            </w:r>
          </w:p>
        </w:tc>
        <w:tc>
          <w:tcPr>
            <w:tcW w:w="2268" w:type="dxa"/>
            <w:vAlign w:val="center"/>
          </w:tcPr>
          <w:p>
            <w:pPr>
              <w:pStyle w:val="17"/>
              <w:rPr>
                <w:rFonts w:hint="default" w:eastAsia="方正书宋_GBK"/>
                <w:lang w:val="en-US" w:eastAsia="zh-CN"/>
              </w:rPr>
            </w:pPr>
            <w:r>
              <w:rPr>
                <w:rFonts w:hint="eastAsia"/>
                <w:lang w:val="en-US" w:eastAsia="zh-CN"/>
              </w:rPr>
              <w:t>维护机关正常办公秩序，保障机关正常运转</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7901"/>
      <w:r>
        <w:rPr>
          <w:rFonts w:ascii="黑体" w:hAnsi="黑体" w:eastAsia="黑体" w:cs="黑体"/>
          <w:color w:val="000000"/>
          <w:sz w:val="32"/>
        </w:rPr>
        <w:t>六、政府采购预算情况</w:t>
      </w:r>
      <w:bookmarkEnd w:id="14"/>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2024年本部门无政府采购预算，空表列示。</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部门政府采购预算</w:t>
      </w:r>
    </w:p>
    <w:tbl>
      <w:tblPr>
        <w:tblStyle w:val="8"/>
        <w:tblW w:w="145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5"/>
        <w:gridCol w:w="903"/>
        <w:gridCol w:w="1062"/>
        <w:gridCol w:w="1062"/>
        <w:gridCol w:w="664"/>
        <w:gridCol w:w="796"/>
        <w:gridCol w:w="798"/>
        <w:gridCol w:w="903"/>
        <w:gridCol w:w="903"/>
        <w:gridCol w:w="903"/>
        <w:gridCol w:w="903"/>
        <w:gridCol w:w="903"/>
        <w:gridCol w:w="903"/>
        <w:gridCol w:w="903"/>
        <w:gridCol w:w="905"/>
        <w:gridCol w:w="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30" w:type="dxa"/>
            <w:gridSpan w:val="7"/>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382 中共涞水县委机构编制委员会办公室</w:t>
            </w:r>
          </w:p>
        </w:tc>
        <w:tc>
          <w:tcPr>
            <w:tcW w:w="8129"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48" w:type="dxa"/>
            <w:gridSpan w:val="2"/>
            <w:vAlign w:val="center"/>
          </w:tcPr>
          <w:p>
            <w:pPr>
              <w:pStyle w:val="15"/>
            </w:pPr>
            <w:r>
              <w:t>政府采购项目来源</w:t>
            </w:r>
          </w:p>
        </w:tc>
        <w:tc>
          <w:tcPr>
            <w:tcW w:w="1062" w:type="dxa"/>
            <w:vMerge w:val="restart"/>
            <w:vAlign w:val="center"/>
          </w:tcPr>
          <w:p>
            <w:pPr>
              <w:pStyle w:val="15"/>
            </w:pPr>
            <w:r>
              <w:t>采购物品名称</w:t>
            </w:r>
          </w:p>
        </w:tc>
        <w:tc>
          <w:tcPr>
            <w:tcW w:w="1062" w:type="dxa"/>
            <w:vMerge w:val="restart"/>
            <w:vAlign w:val="center"/>
          </w:tcPr>
          <w:p>
            <w:pPr>
              <w:pStyle w:val="15"/>
            </w:pPr>
            <w:r>
              <w:t>政府采购目录序号</w:t>
            </w:r>
          </w:p>
        </w:tc>
        <w:tc>
          <w:tcPr>
            <w:tcW w:w="664" w:type="dxa"/>
            <w:vMerge w:val="restart"/>
            <w:vAlign w:val="center"/>
          </w:tcPr>
          <w:p>
            <w:pPr>
              <w:pStyle w:val="15"/>
            </w:pPr>
            <w:r>
              <w:t>计量  单位</w:t>
            </w:r>
          </w:p>
        </w:tc>
        <w:tc>
          <w:tcPr>
            <w:tcW w:w="796" w:type="dxa"/>
            <w:vMerge w:val="restart"/>
            <w:vAlign w:val="center"/>
          </w:tcPr>
          <w:p>
            <w:pPr>
              <w:pStyle w:val="15"/>
            </w:pPr>
            <w:r>
              <w:t>数量</w:t>
            </w:r>
          </w:p>
        </w:tc>
        <w:tc>
          <w:tcPr>
            <w:tcW w:w="798" w:type="dxa"/>
            <w:vMerge w:val="restart"/>
            <w:vAlign w:val="center"/>
          </w:tcPr>
          <w:p>
            <w:pPr>
              <w:pStyle w:val="15"/>
            </w:pPr>
            <w:r>
              <w:t>单价</w:t>
            </w:r>
          </w:p>
        </w:tc>
        <w:tc>
          <w:tcPr>
            <w:tcW w:w="7226" w:type="dxa"/>
            <w:gridSpan w:val="8"/>
            <w:vAlign w:val="center"/>
          </w:tcPr>
          <w:p>
            <w:pPr>
              <w:pStyle w:val="15"/>
            </w:pPr>
            <w:r>
              <w:t>政府采购金额（当年部门预算安排资金）</w:t>
            </w:r>
          </w:p>
        </w:tc>
        <w:tc>
          <w:tcPr>
            <w:tcW w:w="903" w:type="dxa"/>
            <w:vMerge w:val="restart"/>
            <w:vAlign w:val="center"/>
          </w:tcPr>
          <w:p>
            <w:pPr>
              <w:pStyle w:val="15"/>
            </w:pPr>
            <w:r>
              <w:t>202</w:t>
            </w:r>
            <w:r>
              <w:rPr>
                <w:rFonts w:hint="eastAsia"/>
                <w:lang w:val="en-US" w:eastAsia="zh-CN"/>
              </w:rPr>
              <w:t>4</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45" w:type="dxa"/>
            <w:vAlign w:val="center"/>
          </w:tcPr>
          <w:p>
            <w:pPr>
              <w:pStyle w:val="15"/>
            </w:pPr>
            <w:r>
              <w:t>项目名称</w:t>
            </w:r>
          </w:p>
        </w:tc>
        <w:tc>
          <w:tcPr>
            <w:tcW w:w="903" w:type="dxa"/>
            <w:vAlign w:val="center"/>
          </w:tcPr>
          <w:p>
            <w:pPr>
              <w:pStyle w:val="15"/>
            </w:pPr>
            <w:r>
              <w:t>预算    资金</w:t>
            </w:r>
          </w:p>
        </w:tc>
        <w:tc>
          <w:tcPr>
            <w:tcW w:w="1062" w:type="dxa"/>
            <w:vMerge w:val="continue"/>
          </w:tcPr>
          <w:p/>
        </w:tc>
        <w:tc>
          <w:tcPr>
            <w:tcW w:w="1062" w:type="dxa"/>
            <w:vMerge w:val="continue"/>
          </w:tcPr>
          <w:p/>
        </w:tc>
        <w:tc>
          <w:tcPr>
            <w:tcW w:w="664" w:type="dxa"/>
            <w:vMerge w:val="continue"/>
          </w:tcPr>
          <w:p/>
        </w:tc>
        <w:tc>
          <w:tcPr>
            <w:tcW w:w="796" w:type="dxa"/>
            <w:vMerge w:val="continue"/>
          </w:tcPr>
          <w:p/>
        </w:tc>
        <w:tc>
          <w:tcPr>
            <w:tcW w:w="798" w:type="dxa"/>
            <w:vMerge w:val="continue"/>
          </w:tcPr>
          <w:p/>
        </w:tc>
        <w:tc>
          <w:tcPr>
            <w:tcW w:w="903" w:type="dxa"/>
            <w:vAlign w:val="center"/>
          </w:tcPr>
          <w:p>
            <w:pPr>
              <w:pStyle w:val="15"/>
            </w:pPr>
            <w:r>
              <w:t>合计</w:t>
            </w:r>
          </w:p>
        </w:tc>
        <w:tc>
          <w:tcPr>
            <w:tcW w:w="903" w:type="dxa"/>
            <w:vAlign w:val="center"/>
          </w:tcPr>
          <w:p>
            <w:pPr>
              <w:pStyle w:val="15"/>
            </w:pPr>
            <w:r>
              <w:t>一般公共预算拨款</w:t>
            </w:r>
          </w:p>
        </w:tc>
        <w:tc>
          <w:tcPr>
            <w:tcW w:w="903" w:type="dxa"/>
            <w:vAlign w:val="center"/>
          </w:tcPr>
          <w:p>
            <w:pPr>
              <w:pStyle w:val="15"/>
            </w:pPr>
            <w:r>
              <w:t>基金预算拨款</w:t>
            </w:r>
          </w:p>
        </w:tc>
        <w:tc>
          <w:tcPr>
            <w:tcW w:w="903" w:type="dxa"/>
            <w:vAlign w:val="center"/>
          </w:tcPr>
          <w:p>
            <w:pPr>
              <w:pStyle w:val="15"/>
            </w:pPr>
            <w:r>
              <w:t>国有资本经营预算拨款</w:t>
            </w:r>
          </w:p>
        </w:tc>
        <w:tc>
          <w:tcPr>
            <w:tcW w:w="903" w:type="dxa"/>
            <w:vAlign w:val="center"/>
          </w:tcPr>
          <w:p>
            <w:pPr>
              <w:pStyle w:val="15"/>
            </w:pPr>
            <w:r>
              <w:t>财政专户核拨</w:t>
            </w:r>
          </w:p>
        </w:tc>
        <w:tc>
          <w:tcPr>
            <w:tcW w:w="903" w:type="dxa"/>
            <w:vAlign w:val="center"/>
          </w:tcPr>
          <w:p>
            <w:pPr>
              <w:pStyle w:val="15"/>
            </w:pPr>
            <w:r>
              <w:t>单位    资金</w:t>
            </w:r>
          </w:p>
        </w:tc>
        <w:tc>
          <w:tcPr>
            <w:tcW w:w="903" w:type="dxa"/>
            <w:vAlign w:val="center"/>
          </w:tcPr>
          <w:p>
            <w:pPr>
              <w:pStyle w:val="15"/>
            </w:pPr>
            <w:r>
              <w:t>财政拨    款结转</w:t>
            </w:r>
          </w:p>
        </w:tc>
        <w:tc>
          <w:tcPr>
            <w:tcW w:w="905" w:type="dxa"/>
            <w:vAlign w:val="center"/>
          </w:tcPr>
          <w:p>
            <w:pPr>
              <w:pStyle w:val="15"/>
            </w:pPr>
            <w:r>
              <w:t>非财政    拨款结    转结余</w:t>
            </w:r>
          </w:p>
        </w:tc>
        <w:tc>
          <w:tcPr>
            <w:tcW w:w="9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7" w:hRule="atLeast"/>
          <w:jc w:val="center"/>
        </w:trPr>
        <w:tc>
          <w:tcPr>
            <w:tcW w:w="1145" w:type="dxa"/>
            <w:vAlign w:val="center"/>
          </w:tcPr>
          <w:p>
            <w:pPr>
              <w:pStyle w:val="19"/>
            </w:pPr>
            <w:r>
              <w:t>合  计</w:t>
            </w:r>
          </w:p>
        </w:tc>
        <w:tc>
          <w:tcPr>
            <w:tcW w:w="903" w:type="dxa"/>
            <w:vAlign w:val="center"/>
          </w:tcPr>
          <w:p>
            <w:pPr>
              <w:pStyle w:val="20"/>
            </w:pPr>
          </w:p>
        </w:tc>
        <w:tc>
          <w:tcPr>
            <w:tcW w:w="1062" w:type="dxa"/>
            <w:vAlign w:val="center"/>
          </w:tcPr>
          <w:p>
            <w:pPr>
              <w:pStyle w:val="21"/>
            </w:pPr>
          </w:p>
        </w:tc>
        <w:tc>
          <w:tcPr>
            <w:tcW w:w="1062" w:type="dxa"/>
            <w:vAlign w:val="center"/>
          </w:tcPr>
          <w:p>
            <w:pPr>
              <w:pStyle w:val="21"/>
            </w:pPr>
          </w:p>
        </w:tc>
        <w:tc>
          <w:tcPr>
            <w:tcW w:w="664" w:type="dxa"/>
            <w:vAlign w:val="center"/>
          </w:tcPr>
          <w:p>
            <w:pPr>
              <w:pStyle w:val="19"/>
            </w:pPr>
          </w:p>
        </w:tc>
        <w:tc>
          <w:tcPr>
            <w:tcW w:w="796" w:type="dxa"/>
            <w:vAlign w:val="center"/>
          </w:tcPr>
          <w:p>
            <w:pPr>
              <w:pStyle w:val="20"/>
            </w:pPr>
          </w:p>
        </w:tc>
        <w:tc>
          <w:tcPr>
            <w:tcW w:w="798"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5" w:type="dxa"/>
            <w:vAlign w:val="center"/>
          </w:tcPr>
          <w:p>
            <w:pPr>
              <w:pStyle w:val="20"/>
            </w:pPr>
          </w:p>
        </w:tc>
        <w:tc>
          <w:tcPr>
            <w:tcW w:w="903"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2" w:hRule="atLeast"/>
          <w:jc w:val="center"/>
        </w:trPr>
        <w:tc>
          <w:tcPr>
            <w:tcW w:w="1145" w:type="dxa"/>
            <w:vAlign w:val="center"/>
          </w:tcPr>
          <w:p>
            <w:pPr>
              <w:pStyle w:val="19"/>
            </w:pPr>
          </w:p>
        </w:tc>
        <w:tc>
          <w:tcPr>
            <w:tcW w:w="903" w:type="dxa"/>
            <w:vAlign w:val="center"/>
          </w:tcPr>
          <w:p>
            <w:pPr>
              <w:pStyle w:val="20"/>
            </w:pPr>
          </w:p>
        </w:tc>
        <w:tc>
          <w:tcPr>
            <w:tcW w:w="1062" w:type="dxa"/>
            <w:vAlign w:val="center"/>
          </w:tcPr>
          <w:p>
            <w:pPr>
              <w:pStyle w:val="21"/>
            </w:pPr>
          </w:p>
        </w:tc>
        <w:tc>
          <w:tcPr>
            <w:tcW w:w="1062" w:type="dxa"/>
            <w:vAlign w:val="center"/>
          </w:tcPr>
          <w:p>
            <w:pPr>
              <w:pStyle w:val="21"/>
            </w:pPr>
          </w:p>
        </w:tc>
        <w:tc>
          <w:tcPr>
            <w:tcW w:w="664" w:type="dxa"/>
            <w:vAlign w:val="center"/>
          </w:tcPr>
          <w:p>
            <w:pPr>
              <w:pStyle w:val="19"/>
            </w:pPr>
          </w:p>
        </w:tc>
        <w:tc>
          <w:tcPr>
            <w:tcW w:w="796" w:type="dxa"/>
            <w:vAlign w:val="center"/>
          </w:tcPr>
          <w:p>
            <w:pPr>
              <w:pStyle w:val="20"/>
            </w:pPr>
          </w:p>
        </w:tc>
        <w:tc>
          <w:tcPr>
            <w:tcW w:w="798"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5" w:type="dxa"/>
            <w:vAlign w:val="center"/>
          </w:tcPr>
          <w:p>
            <w:pPr>
              <w:pStyle w:val="20"/>
            </w:pPr>
          </w:p>
        </w:tc>
        <w:tc>
          <w:tcPr>
            <w:tcW w:w="903" w:type="dxa"/>
            <w:vAlign w:val="center"/>
          </w:tcPr>
          <w:p>
            <w:pPr>
              <w:pStyle w:val="20"/>
            </w:pPr>
          </w:p>
        </w:tc>
      </w:tr>
    </w:tbl>
    <w:p>
      <w:pPr>
        <w:spacing w:before="10" w:after="10"/>
        <w:ind w:firstLine="640"/>
        <w:outlineLvl w:val="2"/>
        <w:rPr>
          <w:rFonts w:ascii="黑体" w:hAnsi="黑体" w:eastAsia="黑体" w:cs="黑体"/>
          <w:color w:val="000000"/>
          <w:sz w:val="32"/>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同一采购目录序号的物品，其单价会因配置规格不同而变动，均符合资产配置标准。涉密采购事项按照相关规定执行。</w:t>
      </w:r>
      <w:r>
        <w:rPr>
          <w:rFonts w:ascii="方正书宋_GBK" w:hAnsi="方正书宋_GBK" w:eastAsia="方正书宋_GBK" w:cs="方正书宋_GBK"/>
          <w:color w:val="000000"/>
          <w:sz w:val="21"/>
        </w:rPr>
        <w:t>无</w:t>
      </w:r>
      <w:r>
        <w:rPr>
          <w:rFonts w:hint="eastAsia" w:ascii="方正书宋_GBK" w:hAnsi="方正书宋_GBK" w:eastAsia="方正书宋_GBK" w:cs="方正书宋_GBK"/>
          <w:color w:val="000000"/>
          <w:sz w:val="21"/>
          <w:lang w:val="en-US" w:eastAsia="zh-CN"/>
        </w:rPr>
        <w:t>部门政府采购预算</w:t>
      </w:r>
      <w:r>
        <w:rPr>
          <w:rFonts w:ascii="方正书宋_GBK" w:hAnsi="方正书宋_GBK" w:eastAsia="方正书宋_GBK" w:cs="方正书宋_GBK"/>
          <w:color w:val="000000"/>
          <w:sz w:val="21"/>
        </w:rPr>
        <w:t>情况，空表列示</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bookmarkStart w:id="15" w:name="_Toc14440"/>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5"/>
    </w:p>
    <w:p>
      <w:pPr>
        <w:spacing w:line="520" w:lineRule="exact"/>
        <w:ind w:firstLine="560" w:firstLineChars="200"/>
        <w:rPr>
          <w:rFonts w:hint="eastAsia" w:eastAsia="方正仿宋_GBK"/>
          <w:color w:val="000000"/>
          <w:sz w:val="28"/>
          <w:lang w:val="en-US" w:eastAsia="zh-CN"/>
        </w:rPr>
      </w:pPr>
      <w:r>
        <w:rPr>
          <w:rFonts w:hint="eastAsia" w:eastAsia="方正仿宋_GBK"/>
          <w:color w:val="000000"/>
          <w:sz w:val="28"/>
          <w:lang w:val="en-US" w:eastAsia="zh-CN"/>
        </w:rPr>
        <w:t>中共涞水县委机构编制委员会办公室</w:t>
      </w:r>
      <w:r>
        <w:rPr>
          <w:rFonts w:eastAsia="方正仿宋_GBK"/>
          <w:color w:val="000000"/>
          <w:sz w:val="28"/>
        </w:rPr>
        <w:t>（含所属单位）上年末固定资产金额为</w:t>
      </w:r>
      <w:r>
        <w:rPr>
          <w:rFonts w:hint="eastAsia" w:eastAsia="方正仿宋_GBK"/>
          <w:color w:val="000000"/>
          <w:sz w:val="28"/>
          <w:lang w:val="en-US" w:eastAsia="zh-CN"/>
        </w:rPr>
        <w:t>1.75</w:t>
      </w:r>
      <w:r>
        <w:rPr>
          <w:rFonts w:eastAsia="方正仿宋_GBK"/>
          <w:color w:val="000000"/>
          <w:sz w:val="28"/>
        </w:rPr>
        <w:t>万元（</w:t>
      </w:r>
      <w:r>
        <w:rPr>
          <w:rFonts w:hint="eastAsia" w:eastAsia="方正仿宋_GBK"/>
          <w:color w:val="000000"/>
          <w:sz w:val="28"/>
          <w:lang w:val="en-US" w:eastAsia="zh-CN"/>
        </w:rPr>
        <w:t>详见下表）。2024年无拟购置固定资产计划。</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t>3</w:t>
            </w:r>
            <w:r>
              <w:rPr>
                <w:rFonts w:hint="eastAsia"/>
                <w:lang w:val="en-US" w:eastAsia="zh-CN"/>
              </w:rPr>
              <w:t>82中共涞水县委机构编制委员会办公室</w:t>
            </w:r>
          </w:p>
        </w:tc>
        <w:tc>
          <w:tcPr>
            <w:tcW w:w="5669" w:type="dxa"/>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3</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color w:val="000000"/>
                <w:sz w:val="21"/>
                <w:szCs w:val="21"/>
                <w:lang w:eastAsia="zh-CN"/>
              </w:rPr>
            </w:pPr>
            <w:r>
              <w:rPr>
                <w:rFonts w:hint="eastAsia" w:ascii="宋体" w:hAnsi="宋体" w:eastAsia="宋体"/>
                <w:color w:val="000000"/>
                <w:sz w:val="21"/>
                <w:szCs w:val="21"/>
                <w:lang w:val="en-US" w:eastAsia="zh-CN"/>
              </w:rPr>
              <w:t>0</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Calibri" w:hAnsi="Calibri" w:eastAsia="宋体" w:cs="宋体"/>
                <w:kern w:val="2"/>
                <w:sz w:val="21"/>
                <w:szCs w:val="21"/>
                <w:lang w:eastAsia="zh-CN"/>
              </w:rPr>
            </w:pPr>
            <w:r>
              <w:rPr>
                <w:rFonts w:hint="eastAsia" w:ascii="宋体" w:hAnsi="宋体" w:eastAsia="宋体"/>
                <w:color w:val="000000"/>
                <w:sz w:val="21"/>
                <w:szCs w:val="21"/>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val="en-US" w:eastAsia="zh-CN"/>
              </w:rPr>
              <w:t>0</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1.75</w:t>
            </w: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6" w:name="_Toc6561"/>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2902"/>
      <w:r>
        <w:rPr>
          <w:rFonts w:ascii="黑体" w:hAnsi="黑体" w:eastAsia="黑体" w:cs="黑体"/>
          <w:color w:val="000000"/>
          <w:sz w:val="32"/>
        </w:rPr>
        <w:t>九、其他需要说明的事项</w:t>
      </w:r>
      <w:bookmarkEnd w:id="17"/>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Sitka Display">
    <w:panose1 w:val="02000505000000020004"/>
    <w:charset w:val="00"/>
    <w:family w:val="auto"/>
    <w:pitch w:val="default"/>
    <w:sig w:usb0="A00002EF" w:usb1="4000204B" w:usb2="00000000" w:usb3="00000000" w:csb0="2000019F" w:csb1="00000000"/>
  </w:font>
  <w:font w:name="MT Extra">
    <w:panose1 w:val="05050102010205020202"/>
    <w:charset w:val="00"/>
    <w:family w:val="auto"/>
    <w:pitch w:val="default"/>
    <w:sig w:usb0="8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Euro Sign">
    <w:panose1 w:val="020B0603020201020101"/>
    <w:charset w:val="00"/>
    <w:family w:val="auto"/>
    <w:pitch w:val="default"/>
    <w:sig w:usb0="00000001" w:usb1="00000002" w:usb2="00000000" w:usb3="00000000" w:csb0="20000001" w:csb1="00000000"/>
  </w:font>
  <w:font w:name="Ebrima">
    <w:panose1 w:val="02000000000000000000"/>
    <w:charset w:val="00"/>
    <w:family w:val="auto"/>
    <w:pitch w:val="default"/>
    <w:sig w:usb0="A000505F" w:usb1="02000041" w:usb2="00000800" w:usb3="00000404" w:csb0="00000093" w:csb1="00000000"/>
  </w:font>
  <w:font w:name="Corbel Light">
    <w:panose1 w:val="020B0303020204020204"/>
    <w:charset w:val="00"/>
    <w:family w:val="auto"/>
    <w:pitch w:val="default"/>
    <w:sig w:usb0="A00002EF" w:usb1="4000A44B" w:usb2="00000000" w:usb3="00000000" w:csb0="2000019F" w:csb1="00000000"/>
  </w:font>
  <w:font w:name="Segoe UI Historic">
    <w:panose1 w:val="020B0502040204020203"/>
    <w:charset w:val="00"/>
    <w:family w:val="auto"/>
    <w:pitch w:val="default"/>
    <w:sig w:usb0="800001EF" w:usb1="02000002" w:usb2="0060C080" w:usb3="00000002" w:csb0="00000001" w:csb1="4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Pr>
    </w:pPr>
    <w:r>
      <w:fldChar w:fldCharType="begin"/>
    </w:r>
    <w:r>
      <w:rPr>
        <w:rStyle w:val="11"/>
      </w:rPr>
      <w:instrText xml:space="preserve">PAGE  </w:instrText>
    </w:r>
    <w:r>
      <w:fldChar w:fldCharType="separate"/>
    </w:r>
    <w:r>
      <w:rPr>
        <w:rStyle w:val="11"/>
      </w:rPr>
      <w:t>2</w: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E455A"/>
    <w:multiLevelType w:val="singleLevel"/>
    <w:tmpl w:val="A53E455A"/>
    <w:lvl w:ilvl="0" w:tentative="0">
      <w:start w:val="2"/>
      <w:numFmt w:val="decimal"/>
      <w:suff w:val="nothing"/>
      <w:lvlText w:val="%1、"/>
      <w:lvlJc w:val="left"/>
      <w:pPr>
        <w:ind w:left="-80"/>
      </w:pPr>
    </w:lvl>
  </w:abstractNum>
  <w:abstractNum w:abstractNumId="1">
    <w:nsid w:val="DE51BD5E"/>
    <w:multiLevelType w:val="singleLevel"/>
    <w:tmpl w:val="DE51BD5E"/>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ZjMDFhM2EwMTc3NmIzMGMyZDZmNjU0YTRkOGJkNWE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430275A"/>
    <w:rsid w:val="05443F6F"/>
    <w:rsid w:val="054B4674"/>
    <w:rsid w:val="066E7569"/>
    <w:rsid w:val="070A6B90"/>
    <w:rsid w:val="083523BD"/>
    <w:rsid w:val="08971D17"/>
    <w:rsid w:val="08AC4379"/>
    <w:rsid w:val="0AEE0E67"/>
    <w:rsid w:val="0B7A69B0"/>
    <w:rsid w:val="0C4C20FB"/>
    <w:rsid w:val="0DF63D3E"/>
    <w:rsid w:val="0F0867E4"/>
    <w:rsid w:val="0F5C64E6"/>
    <w:rsid w:val="0FE65409"/>
    <w:rsid w:val="12266F4A"/>
    <w:rsid w:val="12D469A6"/>
    <w:rsid w:val="14B940A6"/>
    <w:rsid w:val="152E6419"/>
    <w:rsid w:val="153D46E4"/>
    <w:rsid w:val="170D2487"/>
    <w:rsid w:val="17691477"/>
    <w:rsid w:val="191243EA"/>
    <w:rsid w:val="1A2D0BE5"/>
    <w:rsid w:val="1A5328A6"/>
    <w:rsid w:val="1AF20311"/>
    <w:rsid w:val="1B9F1CAA"/>
    <w:rsid w:val="1C3B1844"/>
    <w:rsid w:val="1CBC0BD7"/>
    <w:rsid w:val="1F001077"/>
    <w:rsid w:val="1F31064A"/>
    <w:rsid w:val="20045221"/>
    <w:rsid w:val="20D06CC0"/>
    <w:rsid w:val="214E4144"/>
    <w:rsid w:val="21585C6E"/>
    <w:rsid w:val="22C246E7"/>
    <w:rsid w:val="23005595"/>
    <w:rsid w:val="23241284"/>
    <w:rsid w:val="23F52C20"/>
    <w:rsid w:val="24474D05"/>
    <w:rsid w:val="256A4F48"/>
    <w:rsid w:val="26150C1F"/>
    <w:rsid w:val="26600825"/>
    <w:rsid w:val="26992D6A"/>
    <w:rsid w:val="272A774D"/>
    <w:rsid w:val="27B30561"/>
    <w:rsid w:val="27E2170E"/>
    <w:rsid w:val="283261F1"/>
    <w:rsid w:val="28603A18"/>
    <w:rsid w:val="29567A3B"/>
    <w:rsid w:val="29C966E1"/>
    <w:rsid w:val="2A1831C5"/>
    <w:rsid w:val="2C7F0D48"/>
    <w:rsid w:val="2DAD2ACA"/>
    <w:rsid w:val="2EEF66CC"/>
    <w:rsid w:val="311346E6"/>
    <w:rsid w:val="32244352"/>
    <w:rsid w:val="327613D0"/>
    <w:rsid w:val="337F7F5C"/>
    <w:rsid w:val="36F471F6"/>
    <w:rsid w:val="37466412"/>
    <w:rsid w:val="377C1237"/>
    <w:rsid w:val="37CF26CA"/>
    <w:rsid w:val="38E975F1"/>
    <w:rsid w:val="3B2D1AC7"/>
    <w:rsid w:val="3B8B2552"/>
    <w:rsid w:val="3DAD062C"/>
    <w:rsid w:val="3DC34688"/>
    <w:rsid w:val="42156510"/>
    <w:rsid w:val="42D23CE1"/>
    <w:rsid w:val="42E00F5B"/>
    <w:rsid w:val="43A833B4"/>
    <w:rsid w:val="45DF01E8"/>
    <w:rsid w:val="482D5219"/>
    <w:rsid w:val="484477A4"/>
    <w:rsid w:val="48561630"/>
    <w:rsid w:val="48BA73C9"/>
    <w:rsid w:val="49644254"/>
    <w:rsid w:val="4A0F6DB7"/>
    <w:rsid w:val="4A6E08DD"/>
    <w:rsid w:val="4B8B4870"/>
    <w:rsid w:val="4BEA27BB"/>
    <w:rsid w:val="4C433C79"/>
    <w:rsid w:val="4C852DC9"/>
    <w:rsid w:val="4C8B54B2"/>
    <w:rsid w:val="4D7B0BFC"/>
    <w:rsid w:val="4E077249"/>
    <w:rsid w:val="4EE6336E"/>
    <w:rsid w:val="52032A71"/>
    <w:rsid w:val="558F7F2F"/>
    <w:rsid w:val="55BC165F"/>
    <w:rsid w:val="55EF0418"/>
    <w:rsid w:val="56DD7DD0"/>
    <w:rsid w:val="5744774C"/>
    <w:rsid w:val="5B01542B"/>
    <w:rsid w:val="5CFD7E74"/>
    <w:rsid w:val="5E015742"/>
    <w:rsid w:val="5F4E2C09"/>
    <w:rsid w:val="60FD58EA"/>
    <w:rsid w:val="613876CD"/>
    <w:rsid w:val="618868A7"/>
    <w:rsid w:val="63041F5D"/>
    <w:rsid w:val="65362175"/>
    <w:rsid w:val="65975655"/>
    <w:rsid w:val="6672542F"/>
    <w:rsid w:val="668533B4"/>
    <w:rsid w:val="675B4115"/>
    <w:rsid w:val="679D64DC"/>
    <w:rsid w:val="68FD7E70"/>
    <w:rsid w:val="691A2556"/>
    <w:rsid w:val="69BA436E"/>
    <w:rsid w:val="6AF00F3A"/>
    <w:rsid w:val="6AF72513"/>
    <w:rsid w:val="6B661525"/>
    <w:rsid w:val="6C384A25"/>
    <w:rsid w:val="6DE44E65"/>
    <w:rsid w:val="6EA17455"/>
    <w:rsid w:val="72B03567"/>
    <w:rsid w:val="755723C0"/>
    <w:rsid w:val="75D24853"/>
    <w:rsid w:val="77534E09"/>
    <w:rsid w:val="7758241F"/>
    <w:rsid w:val="79815C5D"/>
    <w:rsid w:val="7A3727C0"/>
    <w:rsid w:val="7A4647B1"/>
    <w:rsid w:val="7A54413B"/>
    <w:rsid w:val="7ACE4ED2"/>
    <w:rsid w:val="7B66515F"/>
    <w:rsid w:val="7BD627E1"/>
    <w:rsid w:val="7CB41EA6"/>
    <w:rsid w:val="7D1E37C3"/>
    <w:rsid w:val="7D964E79"/>
    <w:rsid w:val="7FA95FC3"/>
    <w:rsid w:val="7FCB5C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autoRedefine/>
    <w:unhideWhenUsed/>
    <w:qFormat/>
    <w:uiPriority w:val="99"/>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0"/>
    <w:rPr>
      <w:rFonts w:ascii="方正书宋_GBK" w:hAnsi="方正书宋_GBK" w:eastAsia="方正书宋_GBK" w:cs="方正书宋_GBK"/>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qFormat/>
    <w:uiPriority w:val="99"/>
    <w:rPr>
      <w:rFonts w:eastAsia="Times New Roman"/>
      <w:sz w:val="18"/>
      <w:szCs w:val="18"/>
      <w:lang w:eastAsia="uk-UA"/>
    </w:rPr>
  </w:style>
  <w:style w:type="character" w:customStyle="1" w:styleId="35">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7" Type="http://schemas.openxmlformats.org/officeDocument/2006/relationships/fontTable" Target="fontTable.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Props1.xml><?xml version="1.0" encoding="utf-8"?>
<ds:datastoreItem xmlns:ds="http://schemas.openxmlformats.org/officeDocument/2006/customXml" ds:itemID="{8807E301-CE3E-48B0-8F1B-BE48F29E1736}">
  <ds:schemaRefs/>
</ds:datastoreItem>
</file>

<file path=customXml/itemProps10.xml><?xml version="1.0" encoding="utf-8"?>
<ds:datastoreItem xmlns:ds="http://schemas.openxmlformats.org/officeDocument/2006/customXml" ds:itemID="{B8034E79-3EC9-4FB4-8900-8DB566ED87F2}">
  <ds:schemaRefs/>
</ds:datastoreItem>
</file>

<file path=customXml/itemProps11.xml><?xml version="1.0" encoding="utf-8"?>
<ds:datastoreItem xmlns:ds="http://schemas.openxmlformats.org/officeDocument/2006/customXml" ds:itemID="{82063DCE-E0D9-4D45-94AB-06A5849F123C}">
  <ds:schemaRefs/>
</ds:datastoreItem>
</file>

<file path=customXml/itemProps12.xml><?xml version="1.0" encoding="utf-8"?>
<ds:datastoreItem xmlns:ds="http://schemas.openxmlformats.org/officeDocument/2006/customXml" ds:itemID="{7DA1E944-597F-4D9A-ADC8-E3A5D62388E9}">
  <ds:schemaRefs/>
</ds:datastoreItem>
</file>

<file path=customXml/itemProps13.xml><?xml version="1.0" encoding="utf-8"?>
<ds:datastoreItem xmlns:ds="http://schemas.openxmlformats.org/officeDocument/2006/customXml" ds:itemID="{240D75C0-5405-407A-9D88-451A6C53325C}">
  <ds:schemaRefs/>
</ds:datastoreItem>
</file>

<file path=customXml/itemProps14.xml><?xml version="1.0" encoding="utf-8"?>
<ds:datastoreItem xmlns:ds="http://schemas.openxmlformats.org/officeDocument/2006/customXml" ds:itemID="{DFFE41CD-7795-417D-8B3D-7B7E92ADCE28}">
  <ds:schemaRefs/>
</ds:datastoreItem>
</file>

<file path=customXml/itemProps15.xml><?xml version="1.0" encoding="utf-8"?>
<ds:datastoreItem xmlns:ds="http://schemas.openxmlformats.org/officeDocument/2006/customXml" ds:itemID="{DD8D39B1-E032-4B64-9020-66CD65ABCD3B}">
  <ds:schemaRefs/>
</ds:datastoreItem>
</file>

<file path=customXml/itemProps16.xml><?xml version="1.0" encoding="utf-8"?>
<ds:datastoreItem xmlns:ds="http://schemas.openxmlformats.org/officeDocument/2006/customXml" ds:itemID="{6C8F0DDD-DA95-49D7-BEC9-54BED6023821}">
  <ds:schemaRefs/>
</ds:datastoreItem>
</file>

<file path=customXml/itemProps17.xml><?xml version="1.0" encoding="utf-8"?>
<ds:datastoreItem xmlns:ds="http://schemas.openxmlformats.org/officeDocument/2006/customXml" ds:itemID="{BAA19A8D-5B92-489B-B169-BAD91A103344}">
  <ds:schemaRefs/>
</ds:datastoreItem>
</file>

<file path=customXml/itemProps18.xml><?xml version="1.0" encoding="utf-8"?>
<ds:datastoreItem xmlns:ds="http://schemas.openxmlformats.org/officeDocument/2006/customXml" ds:itemID="{9E39FA8A-0D5E-4C72-88C2-A4A5C9D016A3}">
  <ds:schemaRefs/>
</ds:datastoreItem>
</file>

<file path=customXml/itemProps19.xml><?xml version="1.0" encoding="utf-8"?>
<ds:datastoreItem xmlns:ds="http://schemas.openxmlformats.org/officeDocument/2006/customXml" ds:itemID="{127F30A9-AC64-4000-970B-04BBBAF6782F}">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328F8FAA-F9B6-48DE-ABD9-772610F9386F}">
  <ds:schemaRefs/>
</ds:datastoreItem>
</file>

<file path=customXml/itemProps21.xml><?xml version="1.0" encoding="utf-8"?>
<ds:datastoreItem xmlns:ds="http://schemas.openxmlformats.org/officeDocument/2006/customXml" ds:itemID="{927546BB-28A9-4183-9889-130B2B46E760}">
  <ds:schemaRefs/>
</ds:datastoreItem>
</file>

<file path=customXml/itemProps22.xml><?xml version="1.0" encoding="utf-8"?>
<ds:datastoreItem xmlns:ds="http://schemas.openxmlformats.org/officeDocument/2006/customXml" ds:itemID="{9B2DCA2B-261B-4FC5-92E2-74D6E9C53092}">
  <ds:schemaRefs/>
</ds:datastoreItem>
</file>

<file path=customXml/itemProps23.xml><?xml version="1.0" encoding="utf-8"?>
<ds:datastoreItem xmlns:ds="http://schemas.openxmlformats.org/officeDocument/2006/customXml" ds:itemID="{6A6DB8E6-5EDD-4508-B255-AD07BCA264C9}">
  <ds:schemaRefs/>
</ds:datastoreItem>
</file>

<file path=customXml/itemProps24.xml><?xml version="1.0" encoding="utf-8"?>
<ds:datastoreItem xmlns:ds="http://schemas.openxmlformats.org/officeDocument/2006/customXml" ds:itemID="{CB6B8C05-D526-4E72-8AB4-B1FB0F487636}">
  <ds:schemaRefs/>
</ds:datastoreItem>
</file>

<file path=customXml/itemProps25.xml><?xml version="1.0" encoding="utf-8"?>
<ds:datastoreItem xmlns:ds="http://schemas.openxmlformats.org/officeDocument/2006/customXml" ds:itemID="{5EFC46A3-03BA-4ECF-B65E-51918400F753}">
  <ds:schemaRefs/>
</ds:datastoreItem>
</file>

<file path=customXml/itemProps26.xml><?xml version="1.0" encoding="utf-8"?>
<ds:datastoreItem xmlns:ds="http://schemas.openxmlformats.org/officeDocument/2006/customXml" ds:itemID="{4074F53B-6AA8-493B-96FF-0D7EB858216C}">
  <ds:schemaRefs/>
</ds:datastoreItem>
</file>

<file path=customXml/itemProps27.xml><?xml version="1.0" encoding="utf-8"?>
<ds:datastoreItem xmlns:ds="http://schemas.openxmlformats.org/officeDocument/2006/customXml" ds:itemID="{989DA21E-0CDF-4E3D-84F6-1D172BF7F4B9}">
  <ds:schemaRefs/>
</ds:datastoreItem>
</file>

<file path=customXml/itemProps28.xml><?xml version="1.0" encoding="utf-8"?>
<ds:datastoreItem xmlns:ds="http://schemas.openxmlformats.org/officeDocument/2006/customXml" ds:itemID="{C66F43F9-0AB8-4241-BA67-D8AE60CF6C21}">
  <ds:schemaRefs/>
</ds:datastoreItem>
</file>

<file path=customXml/itemProps29.xml><?xml version="1.0" encoding="utf-8"?>
<ds:datastoreItem xmlns:ds="http://schemas.openxmlformats.org/officeDocument/2006/customXml" ds:itemID="{C486A553-0F69-4945-B340-E49BCA32411A}">
  <ds:schemaRefs/>
</ds:datastoreItem>
</file>

<file path=customXml/itemProps3.xml><?xml version="1.0" encoding="utf-8"?>
<ds:datastoreItem xmlns:ds="http://schemas.openxmlformats.org/officeDocument/2006/customXml" ds:itemID="{E56AD1C2-FB4D-4572-86C7-2470DBB3943B}">
  <ds:schemaRefs/>
</ds:datastoreItem>
</file>

<file path=customXml/itemProps30.xml><?xml version="1.0" encoding="utf-8"?>
<ds:datastoreItem xmlns:ds="http://schemas.openxmlformats.org/officeDocument/2006/customXml" ds:itemID="{BC8B0B68-B399-4D6D-AE2B-284CCF1A5CB6}">
  <ds:schemaRefs/>
</ds:datastoreItem>
</file>

<file path=customXml/itemProps31.xml><?xml version="1.0" encoding="utf-8"?>
<ds:datastoreItem xmlns:ds="http://schemas.openxmlformats.org/officeDocument/2006/customXml" ds:itemID="{C593EC27-B89C-46A8-9CF9-3B5AE2B23C20}">
  <ds:schemaRefs/>
</ds:datastoreItem>
</file>

<file path=customXml/itemProps32.xml><?xml version="1.0" encoding="utf-8"?>
<ds:datastoreItem xmlns:ds="http://schemas.openxmlformats.org/officeDocument/2006/customXml" ds:itemID="{1C4E702D-2594-4689-8404-84AFD7E73E52}">
  <ds:schemaRefs/>
</ds:datastoreItem>
</file>

<file path=customXml/itemProps33.xml><?xml version="1.0" encoding="utf-8"?>
<ds:datastoreItem xmlns:ds="http://schemas.openxmlformats.org/officeDocument/2006/customXml" ds:itemID="{3300B263-A8B2-4577-A8B1-07D060066AC1}">
  <ds:schemaRefs/>
</ds:datastoreItem>
</file>

<file path=customXml/itemProps34.xml><?xml version="1.0" encoding="utf-8"?>
<ds:datastoreItem xmlns:ds="http://schemas.openxmlformats.org/officeDocument/2006/customXml" ds:itemID="{526561F4-D429-4474-A75E-30A59CF88000}">
  <ds:schemaRefs/>
</ds:datastoreItem>
</file>

<file path=customXml/itemProps35.xml><?xml version="1.0" encoding="utf-8"?>
<ds:datastoreItem xmlns:ds="http://schemas.openxmlformats.org/officeDocument/2006/customXml" ds:itemID="{B9E9C162-3959-4E09-8552-3788A3BCB94D}">
  <ds:schemaRefs/>
</ds:datastoreItem>
</file>

<file path=customXml/itemProps36.xml><?xml version="1.0" encoding="utf-8"?>
<ds:datastoreItem xmlns:ds="http://schemas.openxmlformats.org/officeDocument/2006/customXml" ds:itemID="{66CC41B6-D28D-4EED-B564-F0D3D013B8B1}">
  <ds:schemaRefs/>
</ds:datastoreItem>
</file>

<file path=customXml/itemProps37.xml><?xml version="1.0" encoding="utf-8"?>
<ds:datastoreItem xmlns:ds="http://schemas.openxmlformats.org/officeDocument/2006/customXml" ds:itemID="{335668B4-649C-41E0-BC80-7D94ABF681A2}">
  <ds:schemaRefs/>
</ds:datastoreItem>
</file>

<file path=customXml/itemProps38.xml><?xml version="1.0" encoding="utf-8"?>
<ds:datastoreItem xmlns:ds="http://schemas.openxmlformats.org/officeDocument/2006/customXml" ds:itemID="{B52E45D6-0F3C-4B21-B161-FA591631F8EB}">
  <ds:schemaRefs/>
</ds:datastoreItem>
</file>

<file path=customXml/itemProps39.xml><?xml version="1.0" encoding="utf-8"?>
<ds:datastoreItem xmlns:ds="http://schemas.openxmlformats.org/officeDocument/2006/customXml" ds:itemID="{D5DDAF8B-C90E-40EE-B940-CCD547411B81}">
  <ds:schemaRefs/>
</ds:datastoreItem>
</file>

<file path=customXml/itemProps4.xml><?xml version="1.0" encoding="utf-8"?>
<ds:datastoreItem xmlns:ds="http://schemas.openxmlformats.org/officeDocument/2006/customXml" ds:itemID="{55A60376-5F1A-4B58-BE70-A0B8CD8AC393}">
  <ds:schemaRefs/>
</ds:datastoreItem>
</file>

<file path=customXml/itemProps5.xml><?xml version="1.0" encoding="utf-8"?>
<ds:datastoreItem xmlns:ds="http://schemas.openxmlformats.org/officeDocument/2006/customXml" ds:itemID="{FF40C868-CD10-4565-BD6F-28B55B247751}">
  <ds:schemaRefs/>
</ds:datastoreItem>
</file>

<file path=customXml/itemProps6.xml><?xml version="1.0" encoding="utf-8"?>
<ds:datastoreItem xmlns:ds="http://schemas.openxmlformats.org/officeDocument/2006/customXml" ds:itemID="{F2B0114A-1BF3-408C-A937-DBD594359DD7}">
  <ds:schemaRefs/>
</ds:datastoreItem>
</file>

<file path=customXml/itemProps7.xml><?xml version="1.0" encoding="utf-8"?>
<ds:datastoreItem xmlns:ds="http://schemas.openxmlformats.org/officeDocument/2006/customXml" ds:itemID="{BF249A3C-5046-4792-B1C7-86A45BD0F7B3}">
  <ds:schemaRefs/>
</ds:datastoreItem>
</file>

<file path=customXml/itemProps8.xml><?xml version="1.0" encoding="utf-8"?>
<ds:datastoreItem xmlns:ds="http://schemas.openxmlformats.org/officeDocument/2006/customXml" ds:itemID="{907DF196-29BA-4F64-A2E6-9B891D8DA970}">
  <ds:schemaRefs/>
</ds:datastoreItem>
</file>

<file path=customXml/itemProps9.xml><?xml version="1.0" encoding="utf-8"?>
<ds:datastoreItem xmlns:ds="http://schemas.openxmlformats.org/officeDocument/2006/customXml" ds:itemID="{4D21B174-EFD5-481F-8023-ECD2C99EA6A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7607</Words>
  <Characters>8676</Characters>
  <Lines>107</Lines>
  <Paragraphs>30</Paragraphs>
  <TotalTime>41</TotalTime>
  <ScaleCrop>false</ScaleCrop>
  <LinksUpToDate>false</LinksUpToDate>
  <CharactersWithSpaces>8911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一点儿浩然气</cp:lastModifiedBy>
  <cp:lastPrinted>2023-02-07T01:55:00Z</cp:lastPrinted>
  <dcterms:modified xsi:type="dcterms:W3CDTF">2024-01-31T01:47:40Z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