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olor w:val="FF0000"/>
          <w:sz w:val="36"/>
          <w:szCs w:val="36"/>
          <w:lang w:eastAsia="zh-CN"/>
        </w:rPr>
      </w:pPr>
    </w:p>
    <w:p>
      <w:pPr>
        <w:jc w:val="center"/>
        <w:rPr>
          <w:bCs/>
          <w:sz w:val="44"/>
          <w:szCs w:val="44"/>
        </w:rPr>
      </w:pPr>
      <w:r>
        <w:rPr>
          <w:rFonts w:hint="eastAsia" w:ascii="黑体" w:hAnsi="黑体" w:eastAsia="黑体" w:cs="黑体"/>
          <w:bCs/>
          <w:color w:val="000000"/>
          <w:sz w:val="44"/>
          <w:szCs w:val="44"/>
          <w:lang w:eastAsia="zh-CN"/>
        </w:rPr>
        <w:t>涞水县龙门乡人民政府</w:t>
      </w:r>
      <w:r>
        <w:rPr>
          <w:rFonts w:hint="eastAsia" w:ascii="黑体" w:hAnsi="黑体" w:eastAsia="黑体" w:cs="黑体"/>
          <w:bCs/>
          <w:color w:val="000000"/>
          <w:sz w:val="44"/>
          <w:szCs w:val="44"/>
        </w:rPr>
        <w:t>所属单位预算</w:t>
      </w:r>
    </w:p>
    <w:p>
      <w:pPr>
        <w:pStyle w:val="4"/>
        <w:tabs>
          <w:tab w:val="right" w:leader="dot" w:pos="14562"/>
        </w:tabs>
        <w:rPr>
          <w:rFonts w:hint="eastAsia" w:ascii="仿宋" w:hAnsi="仿宋" w:eastAsia="仿宋" w:cs="仿宋"/>
          <w:sz w:val="32"/>
          <w:szCs w:val="32"/>
        </w:rPr>
      </w:pPr>
      <w:r>
        <w:fldChar w:fldCharType="begin"/>
      </w:r>
      <w:r>
        <w:instrText xml:space="preserve">TOC \o "4-4" \h \z \u</w:instrText>
      </w:r>
      <w: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"_Toc_4_4_0000000019"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涞水县</w:t>
      </w:r>
      <w:r>
        <w:rPr>
          <w:rFonts w:hint="eastAsia" w:ascii="仿宋" w:hAnsi="仿宋" w:eastAsia="仿宋" w:cs="仿宋"/>
          <w:sz w:val="32"/>
          <w:szCs w:val="32"/>
          <w:lang w:val="en-US" w:eastAsia="zh-CN"/>
        </w:rPr>
        <w:t>龙门乡</w:t>
      </w:r>
      <w:r>
        <w:rPr>
          <w:rFonts w:hint="eastAsia" w:ascii="仿宋" w:hAnsi="仿宋" w:eastAsia="仿宋" w:cs="仿宋"/>
          <w:sz w:val="32"/>
          <w:szCs w:val="32"/>
          <w:lang w:eastAsia="zh-CN"/>
        </w:rPr>
        <w:t>人民政府</w:t>
      </w:r>
      <w:r>
        <w:rPr>
          <w:rFonts w:hint="eastAsia" w:ascii="仿宋" w:hAnsi="仿宋" w:eastAsia="仿宋" w:cs="仿宋"/>
          <w:sz w:val="32"/>
          <w:szCs w:val="32"/>
        </w:rPr>
        <w:t>（本级）收支预算</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_Toc_4_4_0000000019 \h</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outlineLvl w:val="3"/>
        <w:rPr>
          <w:rFonts w:ascii="黑体" w:hAnsi="黑体" w:eastAsia="黑体" w:cs="黑体"/>
          <w:color w:val="000000"/>
          <w:sz w:val="44"/>
          <w:lang w:eastAsia="zh-CN"/>
        </w:rPr>
      </w:pPr>
      <w:bookmarkStart w:id="0" w:name="_Toc_4_4_0000000009"/>
    </w:p>
    <w:p>
      <w:pPr>
        <w:jc w:val="center"/>
        <w:outlineLvl w:val="3"/>
      </w:pPr>
      <w:r>
        <w:rPr>
          <w:rFonts w:hint="eastAsia" w:ascii="黑体" w:hAnsi="黑体" w:eastAsia="黑体" w:cs="黑体"/>
          <w:color w:val="000000"/>
          <w:sz w:val="44"/>
          <w:lang w:eastAsia="zh-CN"/>
        </w:rPr>
        <w:t>一、</w:t>
      </w:r>
      <w:r>
        <w:rPr>
          <w:rFonts w:hint="eastAsia" w:ascii="黑体" w:hAnsi="黑体" w:eastAsia="黑体" w:cs="黑体"/>
          <w:color w:val="000000"/>
          <w:sz w:val="44"/>
        </w:rPr>
        <w:t>涞水县龙门乡人民政府本级收支预算</w:t>
      </w:r>
      <w:bookmarkEnd w:id="0"/>
    </w:p>
    <w:p>
      <w:pPr>
        <w:jc w:val="center"/>
      </w:pPr>
    </w:p>
    <w:tbl>
      <w:tblPr>
        <w:tblStyle w:val="8"/>
        <w:tblW w:w="13600" w:type="dxa"/>
        <w:jc w:val="center"/>
        <w:tblLayout w:type="autofit"/>
        <w:tblCellMar>
          <w:top w:w="0" w:type="dxa"/>
          <w:left w:w="108" w:type="dxa"/>
          <w:bottom w:w="0" w:type="dxa"/>
          <w:right w:w="108" w:type="dxa"/>
        </w:tblCellMar>
      </w:tblPr>
      <w:tblGrid>
        <w:gridCol w:w="810"/>
        <w:gridCol w:w="4070"/>
        <w:gridCol w:w="1457"/>
        <w:gridCol w:w="4342"/>
        <w:gridCol w:w="2921"/>
      </w:tblGrid>
      <w:tr>
        <w:tblPrEx>
          <w:tblCellMar>
            <w:top w:w="0" w:type="dxa"/>
            <w:left w:w="108" w:type="dxa"/>
            <w:bottom w:w="0" w:type="dxa"/>
            <w:right w:w="108" w:type="dxa"/>
          </w:tblCellMar>
        </w:tblPrEx>
        <w:trPr>
          <w:trHeight w:val="1416" w:hRule="atLeast"/>
          <w:jc w:val="center"/>
        </w:trPr>
        <w:tc>
          <w:tcPr>
            <w:tcW w:w="13600" w:type="dxa"/>
            <w:gridSpan w:val="5"/>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宋体" w:eastAsia="黑体" w:cs="黑体"/>
                <w:color w:val="000000"/>
                <w:sz w:val="48"/>
                <w:szCs w:val="48"/>
              </w:rPr>
            </w:pPr>
            <w:r>
              <w:rPr>
                <w:rFonts w:hint="eastAsia" w:ascii="黑体" w:hAnsi="宋体" w:eastAsia="黑体" w:cs="黑体"/>
                <w:color w:val="000000"/>
                <w:kern w:val="0"/>
                <w:sz w:val="48"/>
                <w:szCs w:val="48"/>
                <w:lang w:val="en-US" w:eastAsia="zh-CN" w:bidi="ar"/>
              </w:rPr>
              <w:t>单位</w:t>
            </w:r>
            <w:r>
              <w:rPr>
                <w:rFonts w:hint="eastAsia" w:ascii="黑体" w:hAnsi="宋体" w:eastAsia="黑体" w:cs="黑体"/>
                <w:color w:val="000000"/>
                <w:kern w:val="0"/>
                <w:sz w:val="48"/>
                <w:szCs w:val="48"/>
                <w:lang w:bidi="ar"/>
              </w:rPr>
              <w:t>预算收支总表</w:t>
            </w:r>
          </w:p>
        </w:tc>
      </w:tr>
      <w:tr>
        <w:tblPrEx>
          <w:tblCellMar>
            <w:top w:w="0" w:type="dxa"/>
            <w:left w:w="108" w:type="dxa"/>
            <w:bottom w:w="0" w:type="dxa"/>
            <w:right w:w="108" w:type="dxa"/>
          </w:tblCellMar>
        </w:tblPrEx>
        <w:trPr>
          <w:trHeight w:val="425" w:hRule="atLeast"/>
          <w:jc w:val="center"/>
        </w:trPr>
        <w:tc>
          <w:tcPr>
            <w:tcW w:w="0" w:type="auto"/>
            <w:gridSpan w:val="3"/>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center"/>
              <w:rPr>
                <w:rFonts w:hint="eastAsia" w:ascii="宋体" w:hAnsi="宋体" w:cs="宋体"/>
                <w:color w:val="000000"/>
                <w:sz w:val="22"/>
              </w:rPr>
            </w:pPr>
            <w:r>
              <w:rPr>
                <w:rFonts w:hint="eastAsia" w:ascii="宋体" w:hAnsi="宋体" w:cs="宋体"/>
                <w:color w:val="000000"/>
                <w:kern w:val="0"/>
                <w:sz w:val="22"/>
                <w:lang w:bidi="ar"/>
              </w:rPr>
              <w:t>预算单位编码及名称：[816</w:t>
            </w:r>
            <w:r>
              <w:rPr>
                <w:rFonts w:hint="eastAsia" w:ascii="宋体" w:hAnsi="宋体" w:eastAsia="宋体" w:cs="宋体"/>
                <w:color w:val="000000"/>
                <w:kern w:val="0"/>
                <w:sz w:val="22"/>
                <w:lang w:val="en-US" w:eastAsia="zh-CN" w:bidi="ar"/>
              </w:rPr>
              <w:t>001</w:t>
            </w:r>
            <w:r>
              <w:rPr>
                <w:rFonts w:hint="eastAsia" w:ascii="宋体" w:hAnsi="宋体" w:cs="宋体"/>
                <w:color w:val="000000"/>
                <w:kern w:val="0"/>
                <w:sz w:val="22"/>
                <w:lang w:bidi="ar"/>
              </w:rPr>
              <w:t>]涞水县龙门乡人民政府</w:t>
            </w:r>
            <w:r>
              <w:rPr>
                <w:rFonts w:hint="eastAsia" w:ascii="宋体" w:hAnsi="宋体" w:eastAsia="宋体" w:cs="宋体"/>
                <w:sz w:val="21"/>
                <w:szCs w:val="21"/>
              </w:rPr>
              <w:t>（本级）</w:t>
            </w:r>
          </w:p>
        </w:tc>
        <w:tc>
          <w:tcPr>
            <w:tcW w:w="0" w:type="auto"/>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预算年度：202</w:t>
            </w:r>
            <w:r>
              <w:rPr>
                <w:rFonts w:hint="eastAsia" w:ascii="宋体" w:hAnsi="宋体" w:cs="宋体"/>
                <w:color w:val="000000"/>
                <w:kern w:val="0"/>
                <w:sz w:val="22"/>
                <w:lang w:val="en-US" w:eastAsia="zh-CN" w:bidi="ar"/>
              </w:rPr>
              <w:t>4</w:t>
            </w:r>
          </w:p>
        </w:tc>
        <w:tc>
          <w:tcPr>
            <w:tcW w:w="0" w:type="auto"/>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center"/>
              <w:rPr>
                <w:rFonts w:hint="eastAsia" w:ascii="宋体" w:hAnsi="宋体" w:cs="宋体"/>
                <w:color w:val="000000"/>
                <w:sz w:val="22"/>
              </w:rPr>
            </w:pPr>
            <w:r>
              <w:rPr>
                <w:rFonts w:hint="eastAsia"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44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序号</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收入</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支出</w:t>
            </w:r>
          </w:p>
        </w:tc>
      </w:tr>
      <w:tr>
        <w:tblPrEx>
          <w:tblCellMar>
            <w:top w:w="0" w:type="dxa"/>
            <w:left w:w="108" w:type="dxa"/>
            <w:bottom w:w="0" w:type="dxa"/>
            <w:right w:w="108" w:type="dxa"/>
          </w:tblCellMar>
        </w:tblPrEx>
        <w:trPr>
          <w:trHeight w:val="44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预算数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预算数</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textAlignment w:val="top"/>
              <w:rPr>
                <w:rFonts w:hint="default" w:ascii="Calibri" w:hAnsi="Calibri" w:eastAsia="宋体" w:cs="Calibri"/>
                <w:color w:val="000000"/>
                <w:sz w:val="22"/>
                <w:lang w:val="en-US" w:eastAsia="zh-CN"/>
              </w:rPr>
            </w:pPr>
            <w:r>
              <w:rPr>
                <w:rFonts w:hint="eastAsia" w:ascii="宋体" w:hAnsi="宋体" w:eastAsia="宋体" w:cs="宋体"/>
                <w:color w:val="000000"/>
                <w:kern w:val="0"/>
                <w:sz w:val="22"/>
                <w:lang w:val="en-US" w:eastAsia="zh-CN" w:bidi="ar"/>
              </w:rPr>
              <w:t>514.48</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一、一般公共服务支出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textAlignment w:val="top"/>
              <w:rPr>
                <w:rFonts w:hint="default" w:ascii="Calibri" w:hAnsi="Calibri" w:eastAsia="宋体" w:cs="Calibri"/>
                <w:color w:val="000000"/>
                <w:sz w:val="22"/>
                <w:lang w:val="en-US" w:eastAsia="zh-CN"/>
              </w:rPr>
            </w:pPr>
            <w:r>
              <w:rPr>
                <w:rFonts w:hint="eastAsia" w:ascii="宋体" w:hAnsi="宋体" w:eastAsia="宋体" w:cs="宋体"/>
                <w:color w:val="000000"/>
                <w:kern w:val="0"/>
                <w:sz w:val="22"/>
                <w:lang w:val="en-US" w:eastAsia="zh-CN" w:bidi="ar"/>
              </w:rPr>
              <w:t>444.32</w:t>
            </w: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二、外交支出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三、国防支出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四、公共安全支出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五、事业收入</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五、教育支出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六、科学技术支出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七、上级补助收入</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七、文化旅游体育与传媒支出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textAlignment w:val="top"/>
              <w:rPr>
                <w:rFonts w:ascii="Calibri" w:hAnsi="Calibri" w:cs="Calibri"/>
                <w:color w:val="000000"/>
                <w:sz w:val="22"/>
              </w:rPr>
            </w:pPr>
            <w:r>
              <w:rPr>
                <w:rFonts w:hint="eastAsia" w:ascii="宋体" w:hAnsi="宋体" w:eastAsia="宋体" w:cs="宋体"/>
                <w:color w:val="000000"/>
                <w:kern w:val="0"/>
                <w:sz w:val="22"/>
                <w:lang w:bidi="ar"/>
              </w:rPr>
              <w:t>1.75</w:t>
            </w: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八、社会保障和就业支出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textAlignment w:val="top"/>
              <w:rPr>
                <w:rFonts w:hint="default" w:ascii="Calibri" w:hAnsi="Calibri" w:eastAsia="宋体" w:cs="Calibri"/>
                <w:color w:val="000000"/>
                <w:sz w:val="22"/>
                <w:lang w:val="en-US" w:eastAsia="zh-CN"/>
              </w:rPr>
            </w:pPr>
            <w:r>
              <w:rPr>
                <w:rFonts w:hint="eastAsia" w:ascii="宋体" w:hAnsi="宋体" w:eastAsia="宋体" w:cs="宋体"/>
                <w:color w:val="000000"/>
                <w:kern w:val="0"/>
                <w:sz w:val="22"/>
                <w:lang w:val="en-US" w:eastAsia="zh-CN" w:bidi="ar"/>
              </w:rPr>
              <w:t>30.43</w:t>
            </w: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九、其他收入</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九、社会保险基金支出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十、卫生健康支出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textAlignment w:val="top"/>
              <w:rPr>
                <w:rFonts w:hint="default" w:ascii="Calibri" w:hAnsi="Calibri" w:eastAsia="宋体" w:cs="Calibri"/>
                <w:color w:val="000000"/>
                <w:sz w:val="22"/>
                <w:lang w:val="en-US" w:eastAsia="zh-CN"/>
              </w:rPr>
            </w:pPr>
            <w:r>
              <w:rPr>
                <w:rFonts w:hint="eastAsia" w:ascii="宋体" w:hAnsi="宋体" w:eastAsia="宋体" w:cs="宋体"/>
                <w:color w:val="000000"/>
                <w:kern w:val="0"/>
                <w:sz w:val="22"/>
                <w:lang w:val="en-US" w:eastAsia="zh-CN" w:bidi="ar"/>
              </w:rPr>
              <w:t>18.04</w:t>
            </w: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11</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十一、节能环保支出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12</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十二、城乡社区支出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十三、农林水支出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十四、交通运输支出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十五、资源勘探工业信息等支出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十六、商业服务业等支出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17</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十七、金融支出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十八、援助其他地区支出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19</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十九、自然资源海洋气象等支出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20</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二十、住房保障支出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textAlignment w:val="top"/>
              <w:rPr>
                <w:rFonts w:hint="default" w:ascii="Calibri" w:hAnsi="Calibri" w:eastAsia="宋体" w:cs="Calibri"/>
                <w:color w:val="000000"/>
                <w:sz w:val="22"/>
                <w:lang w:val="en-US" w:eastAsia="zh-CN"/>
              </w:rPr>
            </w:pPr>
            <w:r>
              <w:rPr>
                <w:rFonts w:hint="eastAsia" w:ascii="宋体" w:hAnsi="宋体" w:eastAsia="宋体" w:cs="宋体"/>
                <w:color w:val="000000"/>
                <w:kern w:val="0"/>
                <w:sz w:val="22"/>
                <w:lang w:val="en-US" w:eastAsia="zh-CN" w:bidi="ar"/>
              </w:rPr>
              <w:t>19.94</w:t>
            </w: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21</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二十一、粮油物资储备支出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二十二、国有资本经营预算支出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23</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二十三、灾害防治及应急管理支出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24</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二十四、预备费</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25</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二十五、其他支出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26</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二十六、转移性支出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27</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二十七、债务还本支出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28</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二十八、债务付息支出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29</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二十九、债务发行费用支出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30</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三十、抗疫特别国债安排的支出</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31</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本年收入合计</w:t>
            </w:r>
          </w:p>
        </w:tc>
        <w:tc>
          <w:tcPr>
            <w:tcW w:w="1180"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textAlignment w:val="top"/>
              <w:rPr>
                <w:rFonts w:hint="default" w:ascii="Calibri" w:hAnsi="Calibri" w:eastAsia="宋体" w:cs="Calibri"/>
                <w:color w:val="000000"/>
                <w:sz w:val="22"/>
                <w:lang w:val="en-US" w:eastAsia="zh-CN"/>
              </w:rPr>
            </w:pPr>
            <w:r>
              <w:rPr>
                <w:rFonts w:hint="eastAsia" w:ascii="宋体" w:hAnsi="宋体" w:eastAsia="宋体" w:cs="宋体"/>
                <w:color w:val="000000"/>
                <w:kern w:val="0"/>
                <w:sz w:val="22"/>
                <w:lang w:val="en-US" w:eastAsia="zh-CN" w:bidi="ar"/>
              </w:rPr>
              <w:t>514.48</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本年支出合计</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textAlignment w:val="top"/>
              <w:rPr>
                <w:rFonts w:ascii="Calibri" w:hAnsi="Calibri" w:cs="Calibri"/>
                <w:color w:val="000000"/>
                <w:sz w:val="22"/>
              </w:rPr>
            </w:pPr>
            <w:r>
              <w:rPr>
                <w:rFonts w:hint="eastAsia" w:ascii="宋体" w:hAnsi="宋体" w:eastAsia="宋体" w:cs="宋体"/>
                <w:color w:val="000000"/>
                <w:kern w:val="0"/>
                <w:sz w:val="22"/>
                <w:lang w:val="en-US" w:eastAsia="zh-CN" w:bidi="ar"/>
              </w:rPr>
              <w:t>514.48</w:t>
            </w:r>
          </w:p>
        </w:tc>
      </w:tr>
      <w:tr>
        <w:tblPrEx>
          <w:tblCellMar>
            <w:top w:w="0" w:type="dxa"/>
            <w:left w:w="108" w:type="dxa"/>
            <w:bottom w:w="0" w:type="dxa"/>
            <w:right w:w="108" w:type="dxa"/>
          </w:tblCellMar>
        </w:tblPrEx>
        <w:trPr>
          <w:trHeight w:val="4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32</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上年结转结余</w:t>
            </w:r>
          </w:p>
        </w:tc>
        <w:tc>
          <w:tcPr>
            <w:tcW w:w="1180"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年终结转结余</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rPr>
                <w:rFonts w:ascii="Calibri" w:hAnsi="Calibri" w:cs="Calibri"/>
                <w:color w:val="000000"/>
                <w:sz w:val="22"/>
              </w:rPr>
            </w:pPr>
          </w:p>
        </w:tc>
      </w:tr>
      <w:tr>
        <w:tblPrEx>
          <w:tblCellMar>
            <w:top w:w="0" w:type="dxa"/>
            <w:left w:w="108" w:type="dxa"/>
            <w:bottom w:w="0" w:type="dxa"/>
            <w:right w:w="108" w:type="dxa"/>
          </w:tblCellMar>
        </w:tblPrEx>
        <w:trPr>
          <w:trHeight w:val="43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top"/>
              <w:rPr>
                <w:rFonts w:ascii="Calibri" w:hAnsi="Calibri" w:cs="Calibri"/>
                <w:color w:val="000000"/>
                <w:sz w:val="22"/>
              </w:rPr>
            </w:pPr>
            <w:r>
              <w:rPr>
                <w:rFonts w:ascii="Calibri" w:hAnsi="Calibri" w:cs="Calibri"/>
                <w:color w:val="000000"/>
                <w:kern w:val="0"/>
                <w:sz w:val="22"/>
                <w:lang w:bidi="ar"/>
              </w:rPr>
              <w:t>33</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收入总计</w:t>
            </w:r>
          </w:p>
        </w:tc>
        <w:tc>
          <w:tcPr>
            <w:tcW w:w="1180"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textAlignment w:val="top"/>
              <w:rPr>
                <w:rFonts w:hint="default" w:ascii="Calibri" w:hAnsi="Calibri" w:eastAsia="宋体" w:cs="Calibri"/>
                <w:color w:val="000000"/>
                <w:sz w:val="22"/>
                <w:lang w:val="en-US" w:eastAsia="zh-CN"/>
              </w:rPr>
            </w:pPr>
            <w:r>
              <w:rPr>
                <w:rFonts w:hint="eastAsia" w:ascii="宋体" w:hAnsi="宋体" w:eastAsia="宋体" w:cs="宋体"/>
                <w:color w:val="000000"/>
                <w:kern w:val="0"/>
                <w:sz w:val="22"/>
                <w:lang w:val="en-US" w:eastAsia="zh-CN" w:bidi="ar"/>
              </w:rPr>
              <w:t>514.48</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top"/>
              <w:rPr>
                <w:rFonts w:ascii="Calibri" w:hAnsi="Calibri" w:cs="Calibri"/>
                <w:color w:val="000000"/>
                <w:sz w:val="22"/>
              </w:rPr>
            </w:pPr>
            <w:r>
              <w:rPr>
                <w:rFonts w:ascii="Calibri" w:hAnsi="Calibri" w:cs="Calibri"/>
                <w:color w:val="000000"/>
                <w:kern w:val="0"/>
                <w:sz w:val="22"/>
                <w:lang w:bidi="ar"/>
              </w:rPr>
              <w:t>支出总计</w:t>
            </w:r>
          </w:p>
        </w:tc>
        <w:tc>
          <w:tcPr>
            <w:tcW w:w="236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00" w:lineRule="atLeast"/>
              <w:jc w:val="right"/>
              <w:textAlignment w:val="top"/>
              <w:rPr>
                <w:rFonts w:ascii="Calibri" w:hAnsi="Calibri" w:cs="Calibri"/>
                <w:color w:val="000000"/>
                <w:sz w:val="22"/>
              </w:rPr>
            </w:pPr>
            <w:r>
              <w:rPr>
                <w:rFonts w:hint="eastAsia" w:ascii="宋体" w:hAnsi="宋体" w:eastAsia="宋体" w:cs="宋体"/>
                <w:color w:val="000000"/>
                <w:kern w:val="0"/>
                <w:sz w:val="22"/>
                <w:lang w:val="en-US" w:eastAsia="zh-CN" w:bidi="ar"/>
              </w:rPr>
              <w:t>514.48</w:t>
            </w:r>
          </w:p>
        </w:tc>
      </w:tr>
    </w:tbl>
    <w:p>
      <w:pPr>
        <w:sectPr>
          <w:footerReference r:id="rId4" w:type="default"/>
          <w:footerReference r:id="rId5" w:type="even"/>
          <w:pgSz w:w="16840" w:h="11900" w:orient="landscape"/>
          <w:pgMar w:top="1020" w:right="1020" w:bottom="1020" w:left="1020" w:header="720" w:footer="720" w:gutter="0"/>
          <w:pgNumType w:start="1"/>
          <w:cols w:space="720" w:num="1"/>
        </w:sectPr>
      </w:pPr>
    </w:p>
    <w:tbl>
      <w:tblPr>
        <w:tblStyle w:val="8"/>
        <w:tblW w:w="4999" w:type="pct"/>
        <w:jc w:val="center"/>
        <w:tblLayout w:type="fixed"/>
        <w:tblCellMar>
          <w:top w:w="0" w:type="dxa"/>
          <w:left w:w="108" w:type="dxa"/>
          <w:bottom w:w="0" w:type="dxa"/>
          <w:right w:w="108" w:type="dxa"/>
        </w:tblCellMar>
      </w:tblPr>
      <w:tblGrid>
        <w:gridCol w:w="682"/>
        <w:gridCol w:w="1032"/>
        <w:gridCol w:w="3768"/>
        <w:gridCol w:w="1080"/>
        <w:gridCol w:w="930"/>
        <w:gridCol w:w="1215"/>
        <w:gridCol w:w="930"/>
        <w:gridCol w:w="705"/>
        <w:gridCol w:w="690"/>
        <w:gridCol w:w="990"/>
        <w:gridCol w:w="1215"/>
        <w:gridCol w:w="1095"/>
        <w:gridCol w:w="682"/>
      </w:tblGrid>
      <w:tr>
        <w:tblPrEx>
          <w:tblCellMar>
            <w:top w:w="0" w:type="dxa"/>
            <w:left w:w="108" w:type="dxa"/>
            <w:bottom w:w="0" w:type="dxa"/>
            <w:right w:w="108" w:type="dxa"/>
          </w:tblCellMar>
        </w:tblPrEx>
        <w:trPr>
          <w:trHeight w:val="1200" w:hRule="atLeast"/>
          <w:jc w:val="center"/>
        </w:trPr>
        <w:tc>
          <w:tcPr>
            <w:tcW w:w="5000" w:type="pct"/>
            <w:gridSpan w:val="13"/>
            <w:tcBorders>
              <w:top w:val="nil"/>
              <w:left w:val="nil"/>
              <w:bottom w:val="nil"/>
              <w:right w:val="nil"/>
            </w:tcBorders>
            <w:noWrap/>
            <w:vAlign w:val="center"/>
          </w:tcPr>
          <w:p>
            <w:pPr>
              <w:widowControl/>
              <w:jc w:val="center"/>
              <w:textAlignment w:val="center"/>
              <w:rPr>
                <w:rFonts w:ascii="黑体" w:hAnsi="宋体" w:eastAsia="黑体" w:cs="黑体"/>
                <w:color w:val="000000"/>
                <w:sz w:val="48"/>
                <w:szCs w:val="48"/>
              </w:rPr>
            </w:pPr>
            <w:r>
              <w:rPr>
                <w:rFonts w:hint="eastAsia" w:ascii="黑体" w:hAnsi="宋体" w:eastAsia="黑体" w:cs="黑体"/>
                <w:color w:val="000000"/>
                <w:kern w:val="0"/>
                <w:sz w:val="48"/>
                <w:szCs w:val="48"/>
                <w:lang w:val="en-US" w:eastAsia="zh-CN" w:bidi="ar"/>
              </w:rPr>
              <w:t>单位</w:t>
            </w:r>
            <w:r>
              <w:rPr>
                <w:rFonts w:hint="eastAsia" w:ascii="黑体" w:hAnsi="宋体" w:eastAsia="黑体" w:cs="黑体"/>
                <w:color w:val="000000"/>
                <w:kern w:val="0"/>
                <w:sz w:val="48"/>
                <w:szCs w:val="48"/>
                <w:lang w:bidi="ar"/>
              </w:rPr>
              <w:t>预算收入总表</w:t>
            </w:r>
          </w:p>
        </w:tc>
      </w:tr>
      <w:tr>
        <w:tblPrEx>
          <w:tblCellMar>
            <w:top w:w="0" w:type="dxa"/>
            <w:left w:w="108" w:type="dxa"/>
            <w:bottom w:w="0" w:type="dxa"/>
            <w:right w:w="108" w:type="dxa"/>
          </w:tblCellMar>
        </w:tblPrEx>
        <w:trPr>
          <w:trHeight w:val="360" w:hRule="atLeast"/>
          <w:jc w:val="center"/>
        </w:trPr>
        <w:tc>
          <w:tcPr>
            <w:tcW w:w="3673" w:type="pct"/>
            <w:gridSpan w:val="9"/>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预算单位编码及名称：[816</w:t>
            </w:r>
            <w:r>
              <w:rPr>
                <w:rFonts w:hint="eastAsia" w:ascii="宋体" w:hAnsi="宋体" w:eastAsia="宋体" w:cs="宋体"/>
                <w:color w:val="000000"/>
                <w:kern w:val="0"/>
                <w:sz w:val="22"/>
                <w:lang w:val="en-US" w:eastAsia="zh-CN" w:bidi="ar"/>
              </w:rPr>
              <w:t>001</w:t>
            </w:r>
            <w:r>
              <w:rPr>
                <w:rFonts w:hint="eastAsia" w:ascii="宋体" w:hAnsi="宋体" w:cs="宋体"/>
                <w:color w:val="000000"/>
                <w:kern w:val="0"/>
                <w:sz w:val="22"/>
                <w:lang w:bidi="ar"/>
              </w:rPr>
              <w:t>]涞水县龙门乡人民政府</w:t>
            </w:r>
            <w:r>
              <w:rPr>
                <w:rFonts w:hint="eastAsia" w:ascii="宋体" w:hAnsi="宋体" w:eastAsia="宋体" w:cs="宋体"/>
                <w:sz w:val="21"/>
                <w:szCs w:val="21"/>
              </w:rPr>
              <w:t>（本级）</w:t>
            </w:r>
          </w:p>
        </w:tc>
        <w:tc>
          <w:tcPr>
            <w:tcW w:w="734" w:type="pct"/>
            <w:gridSpan w:val="2"/>
            <w:tcBorders>
              <w:top w:val="nil"/>
              <w:left w:val="nil"/>
              <w:bottom w:val="nil"/>
              <w:right w:val="nil"/>
            </w:tcBorders>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预算年度：202</w:t>
            </w:r>
            <w:r>
              <w:rPr>
                <w:rFonts w:hint="eastAsia" w:ascii="宋体" w:hAnsi="宋体" w:cs="宋体"/>
                <w:color w:val="000000"/>
                <w:kern w:val="0"/>
                <w:sz w:val="22"/>
                <w:lang w:val="en-US" w:eastAsia="zh-CN" w:bidi="ar"/>
              </w:rPr>
              <w:t>4</w:t>
            </w:r>
          </w:p>
        </w:tc>
        <w:tc>
          <w:tcPr>
            <w:tcW w:w="591" w:type="pct"/>
            <w:gridSpan w:val="2"/>
            <w:tcBorders>
              <w:top w:val="nil"/>
              <w:left w:val="nil"/>
              <w:bottom w:val="nil"/>
              <w:right w:val="nil"/>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360" w:hRule="atLeast"/>
          <w:jc w:val="center"/>
        </w:trPr>
        <w:tc>
          <w:tcPr>
            <w:tcW w:w="22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序号</w:t>
            </w:r>
          </w:p>
        </w:tc>
        <w:tc>
          <w:tcPr>
            <w:tcW w:w="159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w:t>
            </w:r>
          </w:p>
        </w:tc>
        <w:tc>
          <w:tcPr>
            <w:tcW w:w="359"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2587" w:type="pct"/>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22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上年结转</w:t>
            </w:r>
          </w:p>
        </w:tc>
      </w:tr>
      <w:tr>
        <w:tblPrEx>
          <w:tblCellMar>
            <w:top w:w="0" w:type="dxa"/>
            <w:left w:w="108" w:type="dxa"/>
            <w:bottom w:w="0" w:type="dxa"/>
            <w:right w:w="108" w:type="dxa"/>
          </w:tblCellMar>
        </w:tblPrEx>
        <w:trPr>
          <w:trHeight w:val="360" w:hRule="atLeast"/>
          <w:jc w:val="center"/>
        </w:trPr>
        <w:tc>
          <w:tcPr>
            <w:tcW w:w="22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125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35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财政拨款收入</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财政专户收入</w:t>
            </w:r>
          </w:p>
        </w:tc>
        <w:tc>
          <w:tcPr>
            <w:tcW w:w="2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事业收入</w:t>
            </w:r>
          </w:p>
        </w:tc>
        <w:tc>
          <w:tcPr>
            <w:tcW w:w="2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经营收入</w:t>
            </w:r>
          </w:p>
        </w:tc>
        <w:tc>
          <w:tcPr>
            <w:tcW w:w="3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上级补助收入</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附属单位上缴收入</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其他收入</w:t>
            </w:r>
          </w:p>
        </w:tc>
        <w:tc>
          <w:tcPr>
            <w:tcW w:w="22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6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34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25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2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2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3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22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w:t>
            </w:r>
          </w:p>
        </w:tc>
        <w:tc>
          <w:tcPr>
            <w:tcW w:w="343"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合计</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514.48</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514.48</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514.48</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201</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444.32</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444.32</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444.32</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3</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20103</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政府办公厅（室）及相关机构事务</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444.32</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444.32</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444.32</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4</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2010301</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行政运行</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427.57</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427.57</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427.57</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5</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2010302</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一般行政管理事务</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16.75</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16.75</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16.75</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6</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207</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文化旅游体育与传媒支出</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7</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20701</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文化和旅游</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8</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2070199</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其他文化和旅游支出</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9</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208</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30.43</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10</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20805</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11</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2080505</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机关事业单位基本养老保险缴费支出</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12</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210</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卫生健康支出</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18.04</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13</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21011</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5"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14</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2101101</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行政单位医疗</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13.74</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13.74</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13.74</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15</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eastAsia="宋体" w:cs="宋体"/>
                <w:color w:val="000000"/>
                <w:sz w:val="22"/>
                <w:lang w:val="en-US" w:eastAsia="zh-CN"/>
              </w:rPr>
            </w:pPr>
            <w:r>
              <w:rPr>
                <w:rFonts w:hint="eastAsia" w:ascii="宋体" w:hAnsi="宋体" w:cs="宋体"/>
                <w:color w:val="000000"/>
                <w:kern w:val="0"/>
                <w:sz w:val="22"/>
                <w:lang w:bidi="ar"/>
              </w:rPr>
              <w:t>210110</w:t>
            </w:r>
            <w:r>
              <w:rPr>
                <w:rFonts w:hint="eastAsia" w:ascii="宋体" w:hAnsi="宋体" w:cs="宋体"/>
                <w:color w:val="000000"/>
                <w:kern w:val="0"/>
                <w:sz w:val="22"/>
                <w:lang w:val="en-US" w:eastAsia="zh-CN" w:bidi="ar"/>
              </w:rPr>
              <w:t>3</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公务员医疗补助</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4.30</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4.30</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4.30</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16</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221</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住房保障支出</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19.94</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17</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22102</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住房改革支出</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22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18</w:t>
            </w:r>
          </w:p>
        </w:tc>
        <w:tc>
          <w:tcPr>
            <w:tcW w:w="343"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2210201</w:t>
            </w:r>
          </w:p>
        </w:tc>
        <w:tc>
          <w:tcPr>
            <w:tcW w:w="1254"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住房公积金</w:t>
            </w:r>
          </w:p>
        </w:tc>
        <w:tc>
          <w:tcPr>
            <w:tcW w:w="35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30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4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30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2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36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7"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bl>
    <w:p>
      <w:pPr>
        <w:sectPr>
          <w:pgSz w:w="16840" w:h="11900" w:orient="landscape"/>
          <w:pgMar w:top="1361" w:right="1020" w:bottom="1361" w:left="1020" w:header="720" w:footer="720" w:gutter="0"/>
          <w:cols w:space="720" w:num="1"/>
        </w:sectPr>
      </w:pPr>
    </w:p>
    <w:tbl>
      <w:tblPr>
        <w:tblStyle w:val="8"/>
        <w:tblW w:w="15024" w:type="dxa"/>
        <w:tblInd w:w="93" w:type="dxa"/>
        <w:tblLayout w:type="autofit"/>
        <w:tblCellMar>
          <w:top w:w="0" w:type="dxa"/>
          <w:left w:w="108" w:type="dxa"/>
          <w:bottom w:w="0" w:type="dxa"/>
          <w:right w:w="108" w:type="dxa"/>
        </w:tblCellMar>
      </w:tblPr>
      <w:tblGrid>
        <w:gridCol w:w="691"/>
        <w:gridCol w:w="1154"/>
        <w:gridCol w:w="3935"/>
        <w:gridCol w:w="1618"/>
        <w:gridCol w:w="1154"/>
        <w:gridCol w:w="1154"/>
        <w:gridCol w:w="1154"/>
        <w:gridCol w:w="1850"/>
        <w:gridCol w:w="2314"/>
      </w:tblGrid>
      <w:tr>
        <w:tblPrEx>
          <w:tblCellMar>
            <w:top w:w="0" w:type="dxa"/>
            <w:left w:w="108" w:type="dxa"/>
            <w:bottom w:w="0" w:type="dxa"/>
            <w:right w:w="108" w:type="dxa"/>
          </w:tblCellMar>
        </w:tblPrEx>
        <w:trPr>
          <w:trHeight w:val="1200" w:hRule="atLeast"/>
        </w:trPr>
        <w:tc>
          <w:tcPr>
            <w:tcW w:w="15024" w:type="dxa"/>
            <w:gridSpan w:val="9"/>
            <w:tcBorders>
              <w:top w:val="nil"/>
              <w:left w:val="nil"/>
              <w:bottom w:val="nil"/>
              <w:right w:val="nil"/>
            </w:tcBorders>
            <w:noWrap/>
            <w:vAlign w:val="center"/>
          </w:tcPr>
          <w:p>
            <w:pPr>
              <w:jc w:val="center"/>
              <w:outlineLvl w:val="4"/>
              <w:rPr>
                <w:rFonts w:ascii="黑体" w:hAnsi="宋体" w:eastAsia="黑体" w:cs="黑体"/>
                <w:color w:val="000000"/>
                <w:sz w:val="48"/>
                <w:szCs w:val="48"/>
              </w:rPr>
            </w:pPr>
            <w:r>
              <w:rPr>
                <w:rFonts w:hint="eastAsia" w:ascii="黑体" w:hAnsi="黑体" w:eastAsia="黑体" w:cs="黑体"/>
                <w:color w:val="auto"/>
                <w:sz w:val="44"/>
                <w:szCs w:val="44"/>
              </w:rPr>
              <w:t>单位预算一般公共预算财政拨</w:t>
            </w:r>
            <w:r>
              <w:rPr>
                <w:rFonts w:hint="eastAsia" w:ascii="黑体" w:hAnsi="黑体" w:eastAsia="黑体" w:cs="黑体"/>
                <w:color w:val="000000"/>
                <w:sz w:val="44"/>
                <w:szCs w:val="44"/>
              </w:rPr>
              <w:t>款支出表</w:t>
            </w:r>
          </w:p>
        </w:tc>
      </w:tr>
      <w:tr>
        <w:tblPrEx>
          <w:tblCellMar>
            <w:top w:w="0" w:type="dxa"/>
            <w:left w:w="108" w:type="dxa"/>
            <w:bottom w:w="0" w:type="dxa"/>
            <w:right w:w="108" w:type="dxa"/>
          </w:tblCellMar>
        </w:tblPrEx>
        <w:trPr>
          <w:trHeight w:val="360" w:hRule="atLeast"/>
        </w:trPr>
        <w:tc>
          <w:tcPr>
            <w:tcW w:w="10860" w:type="dxa"/>
            <w:gridSpan w:val="7"/>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预算单位编码及名称：[816</w:t>
            </w:r>
            <w:r>
              <w:rPr>
                <w:rFonts w:hint="eastAsia" w:ascii="宋体" w:hAnsi="宋体" w:eastAsia="宋体" w:cs="宋体"/>
                <w:color w:val="000000"/>
                <w:kern w:val="0"/>
                <w:sz w:val="22"/>
                <w:lang w:val="en-US" w:eastAsia="zh-CN" w:bidi="ar"/>
              </w:rPr>
              <w:t>001</w:t>
            </w:r>
            <w:r>
              <w:rPr>
                <w:rFonts w:hint="eastAsia" w:ascii="宋体" w:hAnsi="宋体" w:cs="宋体"/>
                <w:color w:val="000000"/>
                <w:kern w:val="0"/>
                <w:sz w:val="22"/>
                <w:lang w:bidi="ar"/>
              </w:rPr>
              <w:t>]涞水县龙门乡人民政府</w:t>
            </w:r>
            <w:r>
              <w:rPr>
                <w:rFonts w:hint="eastAsia" w:ascii="宋体" w:hAnsi="宋体" w:eastAsia="宋体" w:cs="宋体"/>
                <w:sz w:val="21"/>
                <w:szCs w:val="21"/>
              </w:rPr>
              <w:t>（本级）</w:t>
            </w:r>
          </w:p>
        </w:tc>
        <w:tc>
          <w:tcPr>
            <w:tcW w:w="1850" w:type="dxa"/>
            <w:tcBorders>
              <w:top w:val="nil"/>
              <w:left w:val="nil"/>
              <w:bottom w:val="nil"/>
              <w:right w:val="nil"/>
            </w:tcBorders>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预算年度：202</w:t>
            </w:r>
            <w:r>
              <w:rPr>
                <w:rFonts w:hint="eastAsia" w:ascii="宋体" w:hAnsi="宋体" w:cs="宋体"/>
                <w:color w:val="000000"/>
                <w:kern w:val="0"/>
                <w:sz w:val="22"/>
                <w:lang w:val="en-US" w:eastAsia="zh-CN" w:bidi="ar"/>
              </w:rPr>
              <w:t>4</w:t>
            </w:r>
          </w:p>
        </w:tc>
        <w:tc>
          <w:tcPr>
            <w:tcW w:w="2314" w:type="dxa"/>
            <w:tcBorders>
              <w:top w:val="nil"/>
              <w:left w:val="nil"/>
              <w:bottom w:val="nil"/>
              <w:right w:val="nil"/>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36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序号</w:t>
            </w:r>
          </w:p>
        </w:tc>
        <w:tc>
          <w:tcPr>
            <w:tcW w:w="50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支出功能分类科目</w:t>
            </w:r>
          </w:p>
        </w:tc>
        <w:tc>
          <w:tcPr>
            <w:tcW w:w="1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本年支出合计</w:t>
            </w:r>
          </w:p>
        </w:tc>
        <w:tc>
          <w:tcPr>
            <w:tcW w:w="11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1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11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经营支出</w:t>
            </w:r>
          </w:p>
        </w:tc>
        <w:tc>
          <w:tcPr>
            <w:tcW w:w="18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上缴上级支出</w:t>
            </w:r>
          </w:p>
        </w:tc>
        <w:tc>
          <w:tcPr>
            <w:tcW w:w="23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108" w:type="dxa"/>
            <w:bottom w:w="0" w:type="dxa"/>
            <w:right w:w="108" w:type="dxa"/>
          </w:tblCellMar>
        </w:tblPrEx>
        <w:trPr>
          <w:trHeight w:val="360"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39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1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1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1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8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23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60" w:hRule="atLeast"/>
        </w:trPr>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1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9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1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1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1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23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color w:val="000000"/>
                <w:sz w:val="22"/>
              </w:rPr>
            </w:pP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合计</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514.48</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495.98</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18.50</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444.32</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427.57</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16.75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3</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444.32</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427.57</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16.75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行政运行</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427.57</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427.57</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2010302</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一般行政管理事务</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16.75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16.75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6</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207</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7</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20701</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文化和旅游</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8</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2070199</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其他文化和旅游支出</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9</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30.43</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10</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11</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12</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13</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18.04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18.04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行政单位医疗</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13.74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13.74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15</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2101103</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公务员医疗补助</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4.30</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4.30</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16</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19.94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19.94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17</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691"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18</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3935"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住房公积金</w:t>
            </w:r>
          </w:p>
        </w:tc>
        <w:tc>
          <w:tcPr>
            <w:tcW w:w="161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115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850"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314"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bl>
    <w:p>
      <w:pPr>
        <w:jc w:val="both"/>
        <w:outlineLvl w:val="4"/>
        <w:sectPr>
          <w:pgSz w:w="16840" w:h="11900" w:orient="landscape"/>
          <w:pgMar w:top="1361" w:right="1020" w:bottom="1361" w:left="1020" w:header="720" w:footer="720" w:gutter="0"/>
          <w:cols w:space="720" w:num="1"/>
        </w:sectPr>
      </w:pPr>
    </w:p>
    <w:tbl>
      <w:tblPr>
        <w:tblStyle w:val="8"/>
        <w:tblW w:w="5000" w:type="pct"/>
        <w:tblInd w:w="0" w:type="dxa"/>
        <w:tblLayout w:type="fixed"/>
        <w:tblCellMar>
          <w:top w:w="0" w:type="dxa"/>
          <w:left w:w="108" w:type="dxa"/>
          <w:bottom w:w="0" w:type="dxa"/>
          <w:right w:w="108" w:type="dxa"/>
        </w:tblCellMar>
      </w:tblPr>
      <w:tblGrid>
        <w:gridCol w:w="743"/>
        <w:gridCol w:w="2909"/>
        <w:gridCol w:w="1110"/>
        <w:gridCol w:w="3539"/>
        <w:gridCol w:w="1200"/>
        <w:gridCol w:w="1815"/>
        <w:gridCol w:w="1770"/>
        <w:gridCol w:w="1929"/>
      </w:tblGrid>
      <w:tr>
        <w:tblPrEx>
          <w:tblCellMar>
            <w:top w:w="0" w:type="dxa"/>
            <w:left w:w="108" w:type="dxa"/>
            <w:bottom w:w="0" w:type="dxa"/>
            <w:right w:w="108" w:type="dxa"/>
          </w:tblCellMar>
        </w:tblPrEx>
        <w:trPr>
          <w:trHeight w:val="1200" w:hRule="atLeast"/>
        </w:trPr>
        <w:tc>
          <w:tcPr>
            <w:tcW w:w="5000" w:type="pct"/>
            <w:gridSpan w:val="8"/>
            <w:tcBorders>
              <w:top w:val="nil"/>
              <w:left w:val="nil"/>
              <w:bottom w:val="nil"/>
              <w:right w:val="nil"/>
            </w:tcBorders>
            <w:noWrap/>
            <w:vAlign w:val="center"/>
          </w:tcPr>
          <w:p>
            <w:pPr>
              <w:widowControl/>
              <w:jc w:val="center"/>
              <w:textAlignment w:val="center"/>
              <w:rPr>
                <w:rFonts w:ascii="黑体" w:hAnsi="宋体" w:eastAsia="黑体" w:cs="黑体"/>
                <w:color w:val="000000"/>
                <w:sz w:val="48"/>
                <w:szCs w:val="48"/>
              </w:rPr>
            </w:pPr>
            <w:r>
              <w:rPr>
                <w:rFonts w:hint="eastAsia" w:ascii="黑体" w:hAnsi="宋体" w:eastAsia="黑体" w:cs="黑体"/>
                <w:color w:val="000000"/>
                <w:kern w:val="0"/>
                <w:sz w:val="48"/>
                <w:szCs w:val="48"/>
                <w:lang w:val="en-US" w:eastAsia="zh-CN" w:bidi="ar"/>
              </w:rPr>
              <w:t>单位</w:t>
            </w:r>
            <w:r>
              <w:rPr>
                <w:rFonts w:hint="eastAsia" w:ascii="黑体" w:hAnsi="宋体" w:eastAsia="黑体" w:cs="黑体"/>
                <w:color w:val="000000"/>
                <w:kern w:val="0"/>
                <w:sz w:val="48"/>
                <w:szCs w:val="48"/>
                <w:lang w:bidi="ar"/>
              </w:rPr>
              <w:t>预算财政拨款收支总表</w:t>
            </w:r>
          </w:p>
        </w:tc>
      </w:tr>
      <w:tr>
        <w:tblPrEx>
          <w:tblCellMar>
            <w:top w:w="0" w:type="dxa"/>
            <w:left w:w="108" w:type="dxa"/>
            <w:bottom w:w="0" w:type="dxa"/>
            <w:right w:w="108" w:type="dxa"/>
          </w:tblCellMar>
        </w:tblPrEx>
        <w:trPr>
          <w:trHeight w:val="360" w:hRule="atLeast"/>
        </w:trPr>
        <w:tc>
          <w:tcPr>
            <w:tcW w:w="3768" w:type="pct"/>
            <w:gridSpan w:val="6"/>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预算单位编码及名称：[816</w:t>
            </w:r>
            <w:r>
              <w:rPr>
                <w:rFonts w:hint="eastAsia" w:ascii="宋体" w:hAnsi="宋体" w:eastAsia="宋体" w:cs="宋体"/>
                <w:color w:val="000000"/>
                <w:kern w:val="0"/>
                <w:sz w:val="22"/>
                <w:lang w:val="en-US" w:eastAsia="zh-CN" w:bidi="ar"/>
              </w:rPr>
              <w:t>001</w:t>
            </w:r>
            <w:r>
              <w:rPr>
                <w:rFonts w:hint="eastAsia" w:ascii="宋体" w:hAnsi="宋体" w:cs="宋体"/>
                <w:color w:val="000000"/>
                <w:kern w:val="0"/>
                <w:sz w:val="22"/>
                <w:lang w:bidi="ar"/>
              </w:rPr>
              <w:t>]涞水县龙门乡人民政府</w:t>
            </w:r>
            <w:r>
              <w:rPr>
                <w:rFonts w:hint="eastAsia" w:ascii="宋体" w:hAnsi="宋体" w:eastAsia="宋体" w:cs="宋体"/>
                <w:sz w:val="21"/>
                <w:szCs w:val="21"/>
              </w:rPr>
              <w:t>（本级）</w:t>
            </w:r>
          </w:p>
        </w:tc>
        <w:tc>
          <w:tcPr>
            <w:tcW w:w="589" w:type="pct"/>
            <w:tcBorders>
              <w:top w:val="nil"/>
              <w:left w:val="nil"/>
              <w:bottom w:val="nil"/>
              <w:right w:val="nil"/>
            </w:tcBorders>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预算年度：202</w:t>
            </w:r>
            <w:r>
              <w:rPr>
                <w:rFonts w:hint="eastAsia" w:ascii="宋体" w:hAnsi="宋体" w:cs="宋体"/>
                <w:color w:val="000000"/>
                <w:kern w:val="0"/>
                <w:sz w:val="22"/>
                <w:lang w:val="en-US" w:eastAsia="zh-CN" w:bidi="ar"/>
              </w:rPr>
              <w:t>4</w:t>
            </w:r>
          </w:p>
        </w:tc>
        <w:tc>
          <w:tcPr>
            <w:tcW w:w="642" w:type="pct"/>
            <w:tcBorders>
              <w:top w:val="nil"/>
              <w:left w:val="nil"/>
              <w:bottom w:val="nil"/>
              <w:right w:val="nil"/>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360" w:hRule="atLeast"/>
        </w:trPr>
        <w:tc>
          <w:tcPr>
            <w:tcW w:w="24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序号</w:t>
            </w:r>
          </w:p>
        </w:tc>
        <w:tc>
          <w:tcPr>
            <w:tcW w:w="133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收入</w:t>
            </w:r>
          </w:p>
        </w:tc>
        <w:tc>
          <w:tcPr>
            <w:tcW w:w="3414"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w:t>
            </w:r>
          </w:p>
        </w:tc>
      </w:tr>
      <w:tr>
        <w:tblPrEx>
          <w:tblCellMar>
            <w:top w:w="0" w:type="dxa"/>
            <w:left w:w="108" w:type="dxa"/>
            <w:bottom w:w="0" w:type="dxa"/>
            <w:right w:w="108" w:type="dxa"/>
          </w:tblCellMar>
        </w:tblPrEx>
        <w:trPr>
          <w:trHeight w:val="360" w:hRule="atLeast"/>
        </w:trPr>
        <w:tc>
          <w:tcPr>
            <w:tcW w:w="2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96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11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3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6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一般公共预算财政拨款</w:t>
            </w:r>
          </w:p>
        </w:tc>
        <w:tc>
          <w:tcPr>
            <w:tcW w:w="5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政府性基金预算财政拨款</w:t>
            </w:r>
          </w:p>
        </w:tc>
        <w:tc>
          <w:tcPr>
            <w:tcW w:w="64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360" w:hRule="atLeast"/>
        </w:trPr>
        <w:tc>
          <w:tcPr>
            <w:tcW w:w="2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96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1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3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6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5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64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w:t>
            </w:r>
          </w:p>
        </w:tc>
        <w:tc>
          <w:tcPr>
            <w:tcW w:w="96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一、一般公共预算拨款</w:t>
            </w:r>
          </w:p>
        </w:tc>
        <w:tc>
          <w:tcPr>
            <w:tcW w:w="369"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514.48</w:t>
            </w: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444.32</w:t>
            </w:r>
          </w:p>
        </w:tc>
        <w:tc>
          <w:tcPr>
            <w:tcW w:w="6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444.32</w:t>
            </w: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w:t>
            </w:r>
          </w:p>
        </w:tc>
        <w:tc>
          <w:tcPr>
            <w:tcW w:w="96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二、政府性基金预算拨款</w:t>
            </w: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二、外交支出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3</w:t>
            </w:r>
          </w:p>
        </w:tc>
        <w:tc>
          <w:tcPr>
            <w:tcW w:w="96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三、国有资本经营预算拨款</w:t>
            </w: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三、国防支出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4</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5</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五、教育支出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6</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7</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6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8</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30.43</w:t>
            </w:r>
          </w:p>
        </w:tc>
        <w:tc>
          <w:tcPr>
            <w:tcW w:w="6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9</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九、社会保险基金支出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10</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十、卫生健康支出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6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11</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十一、节能环保支出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12</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十二、城乡社区支出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13</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十三、农林水支出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14</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十四、交通运输支出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15</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十五、资源勘探工业信息等支出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16</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十六、商业服务业等支出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17</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十七、金融支出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18</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十八、援助其他地区支出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19</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十九、自然资源海洋气象等支出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eastAsia="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20</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二十、住房保障支出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19.94</w:t>
            </w:r>
          </w:p>
        </w:tc>
        <w:tc>
          <w:tcPr>
            <w:tcW w:w="60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19.94</w:t>
            </w: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21</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二十一、粮油物资储备支出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22</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二十二、国有资本经营预算支出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23</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二十三、灾害防治及应急管理支出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24</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二十四、预备费</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25</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二十五、其他支出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26</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二十六、转移性支出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27</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二十七、债务还本支出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28</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二十八、债务付息支出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29</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二十九、债务发行费用支出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30</w:t>
            </w:r>
          </w:p>
        </w:tc>
        <w:tc>
          <w:tcPr>
            <w:tcW w:w="968"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三十、抗疫特别国债安排的支出</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31</w:t>
            </w:r>
          </w:p>
        </w:tc>
        <w:tc>
          <w:tcPr>
            <w:tcW w:w="96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本年收入合计</w:t>
            </w:r>
          </w:p>
        </w:tc>
        <w:tc>
          <w:tcPr>
            <w:tcW w:w="369"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sz w:val="22"/>
              </w:rPr>
            </w:pPr>
            <w:r>
              <w:rPr>
                <w:rFonts w:hint="eastAsia" w:ascii="宋体" w:hAnsi="宋体" w:cs="宋体"/>
                <w:color w:val="000000"/>
                <w:kern w:val="0"/>
                <w:sz w:val="22"/>
                <w:lang w:val="en-US" w:eastAsia="zh-CN" w:bidi="ar"/>
              </w:rPr>
              <w:t>514.48</w:t>
            </w: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本年支出合计</w:t>
            </w:r>
          </w:p>
        </w:tc>
        <w:tc>
          <w:tcPr>
            <w:tcW w:w="399"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eastAsia="宋体" w:cs="宋体"/>
                <w:color w:val="000000"/>
                <w:sz w:val="22"/>
                <w:szCs w:val="22"/>
              </w:rPr>
            </w:pPr>
            <w:r>
              <w:rPr>
                <w:rFonts w:hint="eastAsia" w:ascii="宋体" w:hAnsi="宋体" w:eastAsia="宋体" w:cs="宋体"/>
                <w:sz w:val="22"/>
                <w:szCs w:val="22"/>
              </w:rPr>
              <w:t>514.48</w:t>
            </w:r>
          </w:p>
        </w:tc>
        <w:tc>
          <w:tcPr>
            <w:tcW w:w="604"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eastAsia="宋体" w:cs="宋体"/>
                <w:color w:val="000000"/>
                <w:sz w:val="22"/>
                <w:szCs w:val="22"/>
              </w:rPr>
            </w:pPr>
            <w:r>
              <w:rPr>
                <w:rFonts w:hint="eastAsia" w:ascii="宋体" w:hAnsi="宋体" w:eastAsia="宋体" w:cs="宋体"/>
                <w:sz w:val="22"/>
                <w:szCs w:val="22"/>
              </w:rPr>
              <w:t>514.48</w:t>
            </w: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32</w:t>
            </w:r>
          </w:p>
        </w:tc>
        <w:tc>
          <w:tcPr>
            <w:tcW w:w="96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年初财政拨款结转和结余</w:t>
            </w:r>
          </w:p>
        </w:tc>
        <w:tc>
          <w:tcPr>
            <w:tcW w:w="36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年末财政拨款结转和结余</w:t>
            </w:r>
          </w:p>
        </w:tc>
        <w:tc>
          <w:tcPr>
            <w:tcW w:w="39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04"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3</w:t>
            </w:r>
            <w:r>
              <w:rPr>
                <w:rFonts w:ascii="宋体" w:hAnsi="宋体" w:cs="宋体"/>
                <w:color w:val="000000"/>
                <w:kern w:val="0"/>
                <w:sz w:val="22"/>
                <w:lang w:bidi="ar"/>
              </w:rPr>
              <w:t>3</w:t>
            </w:r>
          </w:p>
        </w:tc>
        <w:tc>
          <w:tcPr>
            <w:tcW w:w="96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收入总计</w:t>
            </w:r>
          </w:p>
        </w:tc>
        <w:tc>
          <w:tcPr>
            <w:tcW w:w="369"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sz w:val="22"/>
              </w:rPr>
            </w:pPr>
            <w:r>
              <w:rPr>
                <w:rFonts w:hint="eastAsia" w:ascii="宋体" w:hAnsi="宋体" w:cs="宋体"/>
                <w:color w:val="000000"/>
                <w:kern w:val="0"/>
                <w:sz w:val="22"/>
                <w:lang w:val="en-US" w:eastAsia="zh-CN" w:bidi="ar"/>
              </w:rPr>
              <w:t>514.48</w:t>
            </w:r>
          </w:p>
        </w:tc>
        <w:tc>
          <w:tcPr>
            <w:tcW w:w="1178"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支出总计</w:t>
            </w:r>
          </w:p>
        </w:tc>
        <w:tc>
          <w:tcPr>
            <w:tcW w:w="399"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eastAsia="宋体" w:cs="宋体"/>
                <w:sz w:val="22"/>
                <w:szCs w:val="22"/>
              </w:rPr>
            </w:pPr>
            <w:r>
              <w:rPr>
                <w:rFonts w:hint="eastAsia" w:ascii="宋体" w:hAnsi="宋体" w:eastAsia="宋体" w:cs="宋体"/>
                <w:sz w:val="22"/>
                <w:szCs w:val="22"/>
              </w:rPr>
              <w:t>514.48</w:t>
            </w:r>
          </w:p>
        </w:tc>
        <w:tc>
          <w:tcPr>
            <w:tcW w:w="604"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eastAsia="宋体" w:cs="宋体"/>
                <w:sz w:val="22"/>
                <w:szCs w:val="22"/>
              </w:rPr>
            </w:pPr>
            <w:r>
              <w:rPr>
                <w:rFonts w:hint="eastAsia" w:ascii="宋体" w:hAnsi="宋体" w:eastAsia="宋体" w:cs="宋体"/>
                <w:sz w:val="22"/>
                <w:szCs w:val="22"/>
              </w:rPr>
              <w:t>514.48</w:t>
            </w:r>
          </w:p>
        </w:tc>
        <w:tc>
          <w:tcPr>
            <w:tcW w:w="589"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642"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bl>
    <w:p/>
    <w:p/>
    <w:p/>
    <w:p/>
    <w:p/>
    <w:p>
      <w:pPr>
        <w:rPr>
          <w:rFonts w:hint="eastAsia" w:eastAsia="宋体"/>
          <w:lang w:val="en-US" w:eastAsia="zh-CN"/>
        </w:rPr>
      </w:pPr>
    </w:p>
    <w:p>
      <w:pPr>
        <w:rPr>
          <w:rFonts w:hint="eastAsia" w:eastAsia="宋体"/>
          <w:lang w:val="en-US" w:eastAsia="zh-CN"/>
        </w:rPr>
      </w:pPr>
    </w:p>
    <w:p/>
    <w:p/>
    <w:p/>
    <w:p/>
    <w:p/>
    <w:p/>
    <w:tbl>
      <w:tblPr>
        <w:tblStyle w:val="8"/>
        <w:tblW w:w="5000" w:type="pct"/>
        <w:tblInd w:w="0" w:type="dxa"/>
        <w:tblLayout w:type="autofit"/>
        <w:tblCellMar>
          <w:top w:w="0" w:type="dxa"/>
          <w:left w:w="108" w:type="dxa"/>
          <w:bottom w:w="0" w:type="dxa"/>
          <w:right w:w="108" w:type="dxa"/>
        </w:tblCellMar>
      </w:tblPr>
      <w:tblGrid>
        <w:gridCol w:w="826"/>
        <w:gridCol w:w="1387"/>
        <w:gridCol w:w="4733"/>
        <w:gridCol w:w="1108"/>
        <w:gridCol w:w="1108"/>
        <w:gridCol w:w="1396"/>
        <w:gridCol w:w="2223"/>
        <w:gridCol w:w="2233"/>
      </w:tblGrid>
      <w:tr>
        <w:tblPrEx>
          <w:tblCellMar>
            <w:top w:w="0" w:type="dxa"/>
            <w:left w:w="108" w:type="dxa"/>
            <w:bottom w:w="0" w:type="dxa"/>
            <w:right w:w="108" w:type="dxa"/>
          </w:tblCellMar>
        </w:tblPrEx>
        <w:trPr>
          <w:trHeight w:val="1200" w:hRule="atLeast"/>
        </w:trPr>
        <w:tc>
          <w:tcPr>
            <w:tcW w:w="5000" w:type="pct"/>
            <w:gridSpan w:val="8"/>
            <w:tcBorders>
              <w:top w:val="nil"/>
              <w:left w:val="nil"/>
              <w:bottom w:val="nil"/>
              <w:right w:val="nil"/>
            </w:tcBorders>
            <w:noWrap/>
            <w:vAlign w:val="center"/>
          </w:tcPr>
          <w:p>
            <w:pPr>
              <w:jc w:val="center"/>
              <w:outlineLvl w:val="4"/>
              <w:rPr>
                <w:rFonts w:ascii="黑体" w:hAnsi="宋体" w:eastAsia="黑体" w:cs="黑体"/>
                <w:color w:val="000000"/>
                <w:sz w:val="48"/>
                <w:szCs w:val="48"/>
              </w:rPr>
            </w:pPr>
            <w:r>
              <w:rPr>
                <w:rFonts w:hint="eastAsia" w:ascii="黑体" w:hAnsi="黑体" w:eastAsia="黑体" w:cs="黑体"/>
                <w:color w:val="000000"/>
                <w:sz w:val="44"/>
                <w:szCs w:val="44"/>
              </w:rPr>
              <w:t>单位预算一般公共预算财政拨款支出表</w:t>
            </w:r>
          </w:p>
        </w:tc>
      </w:tr>
      <w:tr>
        <w:tblPrEx>
          <w:tblCellMar>
            <w:top w:w="0" w:type="dxa"/>
            <w:left w:w="108" w:type="dxa"/>
            <w:bottom w:w="0" w:type="dxa"/>
            <w:right w:w="108" w:type="dxa"/>
          </w:tblCellMar>
        </w:tblPrEx>
        <w:trPr>
          <w:trHeight w:val="360" w:hRule="atLeast"/>
        </w:trPr>
        <w:tc>
          <w:tcPr>
            <w:tcW w:w="3517" w:type="pct"/>
            <w:gridSpan w:val="6"/>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预算单位编码及名称：[816</w:t>
            </w:r>
            <w:r>
              <w:rPr>
                <w:rFonts w:hint="eastAsia" w:ascii="宋体" w:hAnsi="宋体" w:eastAsia="宋体" w:cs="宋体"/>
                <w:color w:val="000000"/>
                <w:kern w:val="0"/>
                <w:sz w:val="22"/>
                <w:lang w:val="en-US" w:eastAsia="zh-CN" w:bidi="ar"/>
              </w:rPr>
              <w:t>001</w:t>
            </w:r>
            <w:r>
              <w:rPr>
                <w:rFonts w:hint="eastAsia" w:ascii="宋体" w:hAnsi="宋体" w:cs="宋体"/>
                <w:color w:val="000000"/>
                <w:kern w:val="0"/>
                <w:sz w:val="22"/>
                <w:lang w:bidi="ar"/>
              </w:rPr>
              <w:t>]涞水县龙门乡人民政府</w:t>
            </w:r>
            <w:r>
              <w:rPr>
                <w:rFonts w:hint="eastAsia" w:ascii="宋体" w:hAnsi="宋体" w:eastAsia="宋体" w:cs="宋体"/>
                <w:sz w:val="21"/>
                <w:szCs w:val="21"/>
              </w:rPr>
              <w:t>（本级）</w:t>
            </w:r>
          </w:p>
        </w:tc>
        <w:tc>
          <w:tcPr>
            <w:tcW w:w="740" w:type="pct"/>
            <w:tcBorders>
              <w:top w:val="nil"/>
              <w:left w:val="nil"/>
              <w:bottom w:val="nil"/>
              <w:right w:val="nil"/>
            </w:tcBorders>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预算年度：202</w:t>
            </w:r>
            <w:r>
              <w:rPr>
                <w:rFonts w:hint="eastAsia" w:ascii="宋体" w:hAnsi="宋体" w:cs="宋体"/>
                <w:color w:val="000000"/>
                <w:kern w:val="0"/>
                <w:sz w:val="22"/>
                <w:lang w:val="en-US" w:eastAsia="zh-CN" w:bidi="ar"/>
              </w:rPr>
              <w:t>4</w:t>
            </w:r>
          </w:p>
        </w:tc>
        <w:tc>
          <w:tcPr>
            <w:tcW w:w="741" w:type="pct"/>
            <w:tcBorders>
              <w:top w:val="nil"/>
              <w:left w:val="nil"/>
              <w:bottom w:val="nil"/>
              <w:right w:val="nil"/>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序号</w:t>
            </w:r>
          </w:p>
        </w:tc>
        <w:tc>
          <w:tcPr>
            <w:tcW w:w="203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支出功能分类科目</w:t>
            </w:r>
          </w:p>
        </w:tc>
        <w:tc>
          <w:tcPr>
            <w:tcW w:w="369"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573"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74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r>
      <w:tr>
        <w:tblPrEx>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15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36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3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w:t>
            </w:r>
          </w:p>
        </w:tc>
        <w:tc>
          <w:tcPr>
            <w:tcW w:w="7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w:t>
            </w:r>
          </w:p>
        </w:tc>
        <w:tc>
          <w:tcPr>
            <w:tcW w:w="7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5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w:t>
            </w:r>
          </w:p>
        </w:tc>
        <w:tc>
          <w:tcPr>
            <w:tcW w:w="1387"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合计</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514.48</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495.98</w:t>
            </w:r>
          </w:p>
        </w:tc>
        <w:tc>
          <w:tcPr>
            <w:tcW w:w="13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417.57</w:t>
            </w:r>
          </w:p>
        </w:tc>
        <w:tc>
          <w:tcPr>
            <w:tcW w:w="22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78.41</w:t>
            </w:r>
          </w:p>
        </w:tc>
        <w:tc>
          <w:tcPr>
            <w:tcW w:w="2232"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18.50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201</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444.32</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427.57</w:t>
            </w:r>
          </w:p>
        </w:tc>
        <w:tc>
          <w:tcPr>
            <w:tcW w:w="13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349.16</w:t>
            </w:r>
          </w:p>
        </w:tc>
        <w:tc>
          <w:tcPr>
            <w:tcW w:w="22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78.41</w:t>
            </w:r>
          </w:p>
        </w:tc>
        <w:tc>
          <w:tcPr>
            <w:tcW w:w="2232"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16.75</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3</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20103</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政府办公厅（室）及相关机构事务</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444.32</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427.57</w:t>
            </w:r>
          </w:p>
        </w:tc>
        <w:tc>
          <w:tcPr>
            <w:tcW w:w="12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349.16</w:t>
            </w:r>
          </w:p>
        </w:tc>
        <w:tc>
          <w:tcPr>
            <w:tcW w:w="2063"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78.41</w:t>
            </w:r>
          </w:p>
        </w:tc>
        <w:tc>
          <w:tcPr>
            <w:tcW w:w="2071"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16.75</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4</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2010301</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行政运行</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427.57</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427.57</w:t>
            </w:r>
          </w:p>
        </w:tc>
        <w:tc>
          <w:tcPr>
            <w:tcW w:w="12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349.16</w:t>
            </w:r>
          </w:p>
        </w:tc>
        <w:tc>
          <w:tcPr>
            <w:tcW w:w="2063"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78.41</w:t>
            </w:r>
          </w:p>
        </w:tc>
        <w:tc>
          <w:tcPr>
            <w:tcW w:w="2232"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5</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2010302</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一般行政管理事务</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16.75</w:t>
            </w:r>
          </w:p>
        </w:tc>
        <w:tc>
          <w:tcPr>
            <w:tcW w:w="1108"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396"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16.75</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6</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207</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文化旅游体育与传媒支出</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1108"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396"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7</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20701</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文化和旅游</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1108"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396"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8</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2070199</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其他文化和旅游支出</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c>
          <w:tcPr>
            <w:tcW w:w="1108"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396"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1.75</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9</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208</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30.43</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13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10</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20805</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12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11</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2080505</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机关事业单位基本养老保险缴费支出</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12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12</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210</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卫生健康支出</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13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13</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21011</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12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18.04</w:t>
            </w: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14</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2101101</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行政单位医疗</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13.74</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13.74</w:t>
            </w:r>
          </w:p>
        </w:tc>
        <w:tc>
          <w:tcPr>
            <w:tcW w:w="12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13.74</w:t>
            </w: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15</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eastAsia="宋体" w:cs="宋体"/>
                <w:color w:val="000000"/>
                <w:sz w:val="22"/>
                <w:lang w:eastAsia="zh-CN"/>
              </w:rPr>
            </w:pPr>
            <w:r>
              <w:rPr>
                <w:rFonts w:hint="eastAsia" w:ascii="宋体" w:hAnsi="宋体" w:cs="宋体"/>
                <w:color w:val="000000"/>
                <w:kern w:val="0"/>
                <w:sz w:val="22"/>
                <w:lang w:bidi="ar"/>
              </w:rPr>
              <w:t>210110</w:t>
            </w:r>
            <w:r>
              <w:rPr>
                <w:rFonts w:hint="eastAsia" w:ascii="宋体" w:hAnsi="宋体" w:cs="宋体"/>
                <w:color w:val="000000"/>
                <w:kern w:val="0"/>
                <w:sz w:val="22"/>
                <w:lang w:val="en-US" w:eastAsia="zh-CN" w:bidi="ar"/>
              </w:rPr>
              <w:t>3</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公务员医疗补助</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4.30</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4.30</w:t>
            </w:r>
          </w:p>
        </w:tc>
        <w:tc>
          <w:tcPr>
            <w:tcW w:w="12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4.30</w:t>
            </w: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16</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221</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住房保障支出</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19.94</w:t>
            </w:r>
          </w:p>
        </w:tc>
        <w:tc>
          <w:tcPr>
            <w:tcW w:w="1108"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13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17</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22102</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住房改革支出</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12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val="en-US"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8</w:t>
            </w:r>
          </w:p>
        </w:tc>
        <w:tc>
          <w:tcPr>
            <w:tcW w:w="1387"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2210201</w:t>
            </w:r>
          </w:p>
        </w:tc>
        <w:tc>
          <w:tcPr>
            <w:tcW w:w="4733"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住房公积金</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10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12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19.94</w:t>
            </w:r>
          </w:p>
        </w:tc>
        <w:tc>
          <w:tcPr>
            <w:tcW w:w="2223"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2232" w:type="dxa"/>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bl>
    <w:tbl>
      <w:tblPr>
        <w:tblStyle w:val="8"/>
        <w:tblpPr w:leftFromText="180" w:rightFromText="180" w:vertAnchor="text" w:horzAnchor="page" w:tblpX="1232" w:tblpY="507"/>
        <w:tblOverlap w:val="never"/>
        <w:tblW w:w="5000" w:type="pct"/>
        <w:tblInd w:w="0" w:type="dxa"/>
        <w:tblLayout w:type="autofit"/>
        <w:tblCellMar>
          <w:top w:w="0" w:type="dxa"/>
          <w:left w:w="108" w:type="dxa"/>
          <w:bottom w:w="0" w:type="dxa"/>
          <w:right w:w="108" w:type="dxa"/>
        </w:tblCellMar>
      </w:tblPr>
      <w:tblGrid>
        <w:gridCol w:w="1032"/>
        <w:gridCol w:w="1742"/>
        <w:gridCol w:w="5243"/>
        <w:gridCol w:w="1405"/>
        <w:gridCol w:w="2787"/>
        <w:gridCol w:w="2805"/>
      </w:tblGrid>
      <w:tr>
        <w:tblPrEx>
          <w:tblCellMar>
            <w:top w:w="0" w:type="dxa"/>
            <w:left w:w="108" w:type="dxa"/>
            <w:bottom w:w="0" w:type="dxa"/>
            <w:right w:w="108" w:type="dxa"/>
          </w:tblCellMar>
        </w:tblPrEx>
        <w:trPr>
          <w:trHeight w:val="1200" w:hRule="atLeast"/>
        </w:trPr>
        <w:tc>
          <w:tcPr>
            <w:tcW w:w="5000" w:type="pct"/>
            <w:gridSpan w:val="6"/>
            <w:tcBorders>
              <w:top w:val="nil"/>
              <w:left w:val="nil"/>
              <w:bottom w:val="nil"/>
              <w:right w:val="nil"/>
            </w:tcBorders>
            <w:noWrap/>
            <w:vAlign w:val="center"/>
          </w:tcPr>
          <w:p>
            <w:pPr>
              <w:widowControl/>
              <w:jc w:val="center"/>
              <w:textAlignment w:val="center"/>
              <w:rPr>
                <w:rFonts w:ascii="黑体" w:hAnsi="宋体" w:eastAsia="黑体" w:cs="黑体"/>
                <w:color w:val="000000"/>
                <w:sz w:val="44"/>
                <w:szCs w:val="44"/>
              </w:rPr>
            </w:pPr>
            <w:r>
              <w:rPr>
                <w:rFonts w:hint="eastAsia" w:ascii="黑体" w:hAnsi="宋体" w:eastAsia="黑体" w:cs="黑体"/>
                <w:color w:val="000000"/>
                <w:kern w:val="0"/>
                <w:sz w:val="44"/>
                <w:szCs w:val="44"/>
                <w:lang w:val="en-US" w:eastAsia="zh-CN" w:bidi="ar"/>
              </w:rPr>
              <w:t>单位</w:t>
            </w:r>
            <w:r>
              <w:rPr>
                <w:rFonts w:hint="eastAsia" w:ascii="黑体" w:hAnsi="宋体" w:eastAsia="黑体" w:cs="黑体"/>
                <w:color w:val="000000"/>
                <w:kern w:val="0"/>
                <w:sz w:val="44"/>
                <w:szCs w:val="44"/>
                <w:lang w:bidi="ar"/>
              </w:rPr>
              <w:t>预算一般公共预算财政拨款基本支出表</w:t>
            </w:r>
          </w:p>
        </w:tc>
      </w:tr>
      <w:tr>
        <w:tblPrEx>
          <w:tblCellMar>
            <w:top w:w="0" w:type="dxa"/>
            <w:left w:w="108" w:type="dxa"/>
            <w:bottom w:w="0" w:type="dxa"/>
            <w:right w:w="108" w:type="dxa"/>
          </w:tblCellMar>
        </w:tblPrEx>
        <w:trPr>
          <w:trHeight w:val="360" w:hRule="atLeast"/>
        </w:trPr>
        <w:tc>
          <w:tcPr>
            <w:tcW w:w="3138" w:type="pct"/>
            <w:gridSpan w:val="4"/>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预算单位编码及名称：[816</w:t>
            </w:r>
            <w:r>
              <w:rPr>
                <w:rFonts w:hint="eastAsia" w:ascii="宋体" w:hAnsi="宋体" w:eastAsia="宋体" w:cs="宋体"/>
                <w:color w:val="000000"/>
                <w:kern w:val="0"/>
                <w:sz w:val="22"/>
                <w:lang w:val="en-US" w:eastAsia="zh-CN" w:bidi="ar"/>
              </w:rPr>
              <w:t>001</w:t>
            </w:r>
            <w:r>
              <w:rPr>
                <w:rFonts w:hint="eastAsia" w:ascii="宋体" w:hAnsi="宋体" w:cs="宋体"/>
                <w:color w:val="000000"/>
                <w:kern w:val="0"/>
                <w:sz w:val="22"/>
                <w:lang w:bidi="ar"/>
              </w:rPr>
              <w:t>]涞水县龙门乡人民政府</w:t>
            </w:r>
            <w:r>
              <w:rPr>
                <w:rFonts w:hint="eastAsia" w:ascii="宋体" w:hAnsi="宋体" w:eastAsia="宋体" w:cs="宋体"/>
                <w:sz w:val="21"/>
                <w:szCs w:val="21"/>
              </w:rPr>
              <w:t>（本级）</w:t>
            </w:r>
          </w:p>
        </w:tc>
        <w:tc>
          <w:tcPr>
            <w:tcW w:w="928" w:type="pct"/>
            <w:tcBorders>
              <w:top w:val="nil"/>
              <w:left w:val="nil"/>
              <w:bottom w:val="nil"/>
              <w:right w:val="nil"/>
            </w:tcBorders>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预算年度：202</w:t>
            </w:r>
            <w:r>
              <w:rPr>
                <w:rFonts w:hint="eastAsia" w:ascii="宋体" w:hAnsi="宋体" w:cs="宋体"/>
                <w:color w:val="000000"/>
                <w:kern w:val="0"/>
                <w:sz w:val="22"/>
                <w:lang w:val="en-US" w:eastAsia="zh-CN" w:bidi="ar"/>
              </w:rPr>
              <w:t>4</w:t>
            </w:r>
          </w:p>
        </w:tc>
        <w:tc>
          <w:tcPr>
            <w:tcW w:w="933" w:type="pct"/>
            <w:tcBorders>
              <w:top w:val="nil"/>
              <w:left w:val="nil"/>
              <w:bottom w:val="nil"/>
              <w:right w:val="nil"/>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360" w:hRule="atLeast"/>
        </w:trPr>
        <w:tc>
          <w:tcPr>
            <w:tcW w:w="34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序号</w:t>
            </w:r>
          </w:p>
        </w:tc>
        <w:tc>
          <w:tcPr>
            <w:tcW w:w="2326"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支出部门经济分类科目</w:t>
            </w:r>
          </w:p>
        </w:tc>
        <w:tc>
          <w:tcPr>
            <w:tcW w:w="2329"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一般公共预算基本支出</w:t>
            </w:r>
          </w:p>
        </w:tc>
      </w:tr>
      <w:tr>
        <w:tblPrEx>
          <w:tblCellMar>
            <w:top w:w="0" w:type="dxa"/>
            <w:left w:w="108" w:type="dxa"/>
            <w:bottom w:w="0" w:type="dxa"/>
            <w:right w:w="108" w:type="dxa"/>
          </w:tblCellMar>
        </w:tblPrEx>
        <w:trPr>
          <w:trHeight w:val="360" w:hRule="atLeast"/>
        </w:trPr>
        <w:tc>
          <w:tcPr>
            <w:tcW w:w="34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5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1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4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9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w:t>
            </w:r>
          </w:p>
        </w:tc>
        <w:tc>
          <w:tcPr>
            <w:tcW w:w="9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w:t>
            </w:r>
          </w:p>
        </w:tc>
      </w:tr>
      <w:tr>
        <w:tblPrEx>
          <w:tblCellMar>
            <w:top w:w="0" w:type="dxa"/>
            <w:left w:w="108" w:type="dxa"/>
            <w:bottom w:w="0" w:type="dxa"/>
            <w:right w:w="108" w:type="dxa"/>
          </w:tblCellMar>
        </w:tblPrEx>
        <w:trPr>
          <w:trHeight w:val="360" w:hRule="atLeast"/>
        </w:trPr>
        <w:tc>
          <w:tcPr>
            <w:tcW w:w="3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5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4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9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9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w:t>
            </w:r>
          </w:p>
        </w:tc>
        <w:tc>
          <w:tcPr>
            <w:tcW w:w="580" w:type="pct"/>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cs="宋体"/>
                <w:color w:val="000000"/>
                <w:sz w:val="22"/>
              </w:rPr>
            </w:pP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合计</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495.98</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417.57</w:t>
            </w: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78.41</w:t>
            </w: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301</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工资福利支出</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412.34</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412.34</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3</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30101</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基本工资</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200.35</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200.35</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4</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30102</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津贴补贴</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73.05</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73.05</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5</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30103</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奖金</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17.88</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17.88</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6</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30107</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绩效工资</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50.97</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50.97</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7</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30108</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30.43</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30.43</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8</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30110</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13.74</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13.74</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9</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30111</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4.30</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4.30</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9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10</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宋体" w:hAnsi="宋体" w:eastAsia="宋体" w:cs="宋体"/>
                <w:color w:val="000000"/>
                <w:kern w:val="0"/>
                <w:sz w:val="22"/>
                <w:lang w:val="en-US" w:eastAsia="zh-CN" w:bidi="ar"/>
              </w:rPr>
            </w:pPr>
            <w:r>
              <w:rPr>
                <w:rFonts w:hint="eastAsia" w:ascii="宋体" w:hAnsi="宋体" w:eastAsia="宋体" w:cs="宋体"/>
                <w:i w:val="0"/>
                <w:iCs w:val="0"/>
                <w:color w:val="000000"/>
                <w:kern w:val="0"/>
                <w:sz w:val="22"/>
                <w:szCs w:val="22"/>
                <w:u w:val="none"/>
                <w:lang w:val="en-US" w:eastAsia="zh-CN" w:bidi="ar"/>
              </w:rPr>
              <w:t>30112</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宋体" w:hAnsi="宋体" w:cs="宋体"/>
                <w:color w:val="000000"/>
                <w:kern w:val="0"/>
                <w:sz w:val="22"/>
                <w:lang w:val="en-US" w:eastAsia="zh-CN" w:bidi="ar"/>
              </w:rPr>
            </w:pPr>
            <w:r>
              <w:rPr>
                <w:rFonts w:hint="eastAsia" w:ascii="宋体" w:hAnsi="宋体" w:eastAsia="宋体" w:cs="宋体"/>
                <w:i w:val="0"/>
                <w:iCs w:val="0"/>
                <w:color w:val="000000"/>
                <w:kern w:val="0"/>
                <w:sz w:val="22"/>
                <w:szCs w:val="22"/>
                <w:u w:val="none"/>
                <w:lang w:val="en-US" w:eastAsia="zh-CN" w:bidi="ar"/>
              </w:rPr>
              <w:t>其他社会保障缴费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cs="宋体"/>
                <w:color w:val="000000"/>
                <w:kern w:val="0"/>
                <w:sz w:val="22"/>
                <w:lang w:val="en-US" w:eastAsia="zh-CN" w:bidi="ar"/>
              </w:rPr>
            </w:pPr>
            <w:r>
              <w:rPr>
                <w:rFonts w:hint="eastAsia" w:ascii="宋体" w:hAnsi="宋体" w:eastAsia="宋体" w:cs="宋体"/>
                <w:i w:val="0"/>
                <w:iCs w:val="0"/>
                <w:color w:val="000000"/>
                <w:kern w:val="0"/>
                <w:sz w:val="22"/>
                <w:szCs w:val="22"/>
                <w:u w:val="none"/>
                <w:lang w:val="en-US" w:eastAsia="zh-CN" w:bidi="ar"/>
              </w:rPr>
              <w:t>1.68</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cs="宋体"/>
                <w:color w:val="000000"/>
                <w:kern w:val="0"/>
                <w:sz w:val="22"/>
                <w:lang w:val="en-US" w:eastAsia="zh-CN" w:bidi="ar"/>
              </w:rPr>
            </w:pPr>
            <w:r>
              <w:rPr>
                <w:rFonts w:hint="eastAsia" w:ascii="宋体" w:hAnsi="宋体" w:eastAsia="宋体" w:cs="宋体"/>
                <w:i w:val="0"/>
                <w:iCs w:val="0"/>
                <w:color w:val="000000"/>
                <w:kern w:val="0"/>
                <w:sz w:val="22"/>
                <w:szCs w:val="22"/>
                <w:u w:val="none"/>
                <w:lang w:val="en-US" w:eastAsia="zh-CN" w:bidi="ar"/>
              </w:rPr>
              <w:t>1.68</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1</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30113</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住房公积金</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19.94</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19.94</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2</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302</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商品和服务支出</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78.41</w:t>
            </w:r>
          </w:p>
        </w:tc>
        <w:tc>
          <w:tcPr>
            <w:tcW w:w="928"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78.41</w:t>
            </w: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3</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30201</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办公费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11.39</w:t>
            </w:r>
          </w:p>
        </w:tc>
        <w:tc>
          <w:tcPr>
            <w:tcW w:w="928"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11.39</w:t>
            </w: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14</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宋体" w:hAnsi="宋体" w:eastAsia="宋体" w:cs="宋体"/>
                <w:color w:val="000000"/>
                <w:kern w:val="0"/>
                <w:sz w:val="22"/>
                <w:lang w:val="en-US" w:eastAsia="zh-CN" w:bidi="ar"/>
              </w:rPr>
            </w:pPr>
            <w:r>
              <w:rPr>
                <w:rFonts w:hint="eastAsia" w:ascii="宋体" w:hAnsi="宋体" w:eastAsia="宋体" w:cs="宋体"/>
                <w:i w:val="0"/>
                <w:iCs w:val="0"/>
                <w:color w:val="000000"/>
                <w:kern w:val="0"/>
                <w:sz w:val="22"/>
                <w:szCs w:val="22"/>
                <w:u w:val="none"/>
                <w:lang w:val="en-US" w:eastAsia="zh-CN" w:bidi="ar"/>
              </w:rPr>
              <w:t>30207</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宋体" w:hAnsi="宋体" w:eastAsia="宋体" w:cs="宋体"/>
                <w:color w:val="000000"/>
                <w:kern w:val="0"/>
                <w:sz w:val="22"/>
                <w:lang w:val="en-US" w:eastAsia="zh-CN" w:bidi="ar"/>
              </w:rPr>
            </w:pPr>
            <w:r>
              <w:rPr>
                <w:rFonts w:hint="eastAsia" w:ascii="宋体" w:hAnsi="宋体" w:eastAsia="宋体" w:cs="宋体"/>
                <w:i w:val="0"/>
                <w:iCs w:val="0"/>
                <w:color w:val="000000"/>
                <w:kern w:val="0"/>
                <w:sz w:val="22"/>
                <w:szCs w:val="22"/>
                <w:u w:val="none"/>
                <w:lang w:val="en-US" w:eastAsia="zh-CN" w:bidi="ar"/>
              </w:rPr>
              <w:t>邮电费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cs="宋体"/>
                <w:color w:val="000000"/>
                <w:kern w:val="0"/>
                <w:sz w:val="22"/>
                <w:lang w:val="en-US" w:eastAsia="zh-CN" w:bidi="ar"/>
              </w:rPr>
            </w:pPr>
            <w:r>
              <w:rPr>
                <w:rFonts w:hint="eastAsia" w:ascii="宋体" w:hAnsi="宋体" w:eastAsia="宋体" w:cs="宋体"/>
                <w:i w:val="0"/>
                <w:iCs w:val="0"/>
                <w:color w:val="000000"/>
                <w:kern w:val="0"/>
                <w:sz w:val="22"/>
                <w:szCs w:val="22"/>
                <w:u w:val="none"/>
                <w:lang w:val="en-US" w:eastAsia="zh-CN" w:bidi="ar"/>
              </w:rPr>
              <w:t>0.50</w:t>
            </w:r>
          </w:p>
        </w:tc>
        <w:tc>
          <w:tcPr>
            <w:tcW w:w="928"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cs="宋体"/>
                <w:color w:val="000000"/>
                <w:kern w:val="0"/>
                <w:sz w:val="22"/>
                <w:lang w:val="en-US" w:eastAsia="zh-CN" w:bidi="ar"/>
              </w:rPr>
            </w:pPr>
            <w:r>
              <w:rPr>
                <w:rFonts w:hint="eastAsia" w:ascii="宋体" w:hAnsi="宋体" w:eastAsia="宋体" w:cs="宋体"/>
                <w:i w:val="0"/>
                <w:iCs w:val="0"/>
                <w:color w:val="000000"/>
                <w:kern w:val="0"/>
                <w:sz w:val="22"/>
                <w:szCs w:val="22"/>
                <w:u w:val="none"/>
                <w:lang w:val="en-US" w:eastAsia="zh-CN" w:bidi="ar"/>
              </w:rPr>
              <w:t>0.50</w:t>
            </w: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5</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30208</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取暖费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6.00</w:t>
            </w:r>
          </w:p>
        </w:tc>
        <w:tc>
          <w:tcPr>
            <w:tcW w:w="928"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6.00</w:t>
            </w: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6</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30217</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公务接待费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0.50</w:t>
            </w:r>
          </w:p>
        </w:tc>
        <w:tc>
          <w:tcPr>
            <w:tcW w:w="928"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0.50</w:t>
            </w:r>
          </w:p>
        </w:tc>
      </w:tr>
      <w:tr>
        <w:tblPrEx>
          <w:tblCellMar>
            <w:top w:w="0" w:type="dxa"/>
            <w:left w:w="108" w:type="dxa"/>
            <w:bottom w:w="0" w:type="dxa"/>
            <w:right w:w="108" w:type="dxa"/>
          </w:tblCellMar>
        </w:tblPrEx>
        <w:trPr>
          <w:trHeight w:val="330" w:hRule="atLeast"/>
        </w:trPr>
        <w:tc>
          <w:tcPr>
            <w:tcW w:w="1032"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7</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30226</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劳务费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38.52</w:t>
            </w:r>
          </w:p>
        </w:tc>
        <w:tc>
          <w:tcPr>
            <w:tcW w:w="928"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38.52</w:t>
            </w:r>
          </w:p>
        </w:tc>
      </w:tr>
      <w:tr>
        <w:tblPrEx>
          <w:tblCellMar>
            <w:top w:w="0" w:type="dxa"/>
            <w:left w:w="108" w:type="dxa"/>
            <w:bottom w:w="0" w:type="dxa"/>
            <w:right w:w="108" w:type="dxa"/>
          </w:tblCellMar>
        </w:tblPrEx>
        <w:trPr>
          <w:trHeight w:val="330" w:hRule="atLeast"/>
        </w:trPr>
        <w:tc>
          <w:tcPr>
            <w:tcW w:w="1032"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val="en-US"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8</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30228</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工会经费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3.56</w:t>
            </w:r>
          </w:p>
        </w:tc>
        <w:tc>
          <w:tcPr>
            <w:tcW w:w="928"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3.56</w:t>
            </w:r>
          </w:p>
        </w:tc>
      </w:tr>
      <w:tr>
        <w:tblPrEx>
          <w:tblCellMar>
            <w:top w:w="0" w:type="dxa"/>
            <w:left w:w="108" w:type="dxa"/>
            <w:bottom w:w="0" w:type="dxa"/>
            <w:right w:w="108" w:type="dxa"/>
          </w:tblCellMar>
        </w:tblPrEx>
        <w:trPr>
          <w:trHeight w:val="330" w:hRule="atLeast"/>
        </w:trPr>
        <w:tc>
          <w:tcPr>
            <w:tcW w:w="1032"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9</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30229</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福利费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4.34</w:t>
            </w:r>
          </w:p>
        </w:tc>
        <w:tc>
          <w:tcPr>
            <w:tcW w:w="928"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4.34</w:t>
            </w:r>
          </w:p>
        </w:tc>
      </w:tr>
      <w:tr>
        <w:tblPrEx>
          <w:tblCellMar>
            <w:top w:w="0" w:type="dxa"/>
            <w:left w:w="108" w:type="dxa"/>
            <w:bottom w:w="0" w:type="dxa"/>
            <w:right w:w="108" w:type="dxa"/>
          </w:tblCellMar>
        </w:tblPrEx>
        <w:trPr>
          <w:trHeight w:val="330" w:hRule="atLeast"/>
        </w:trPr>
        <w:tc>
          <w:tcPr>
            <w:tcW w:w="1032"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eastAsia="zh-CN"/>
              </w:rPr>
            </w:pPr>
            <w:r>
              <w:rPr>
                <w:rFonts w:hint="eastAsia" w:ascii="宋体" w:hAnsi="宋体" w:cs="宋体"/>
                <w:color w:val="000000"/>
                <w:kern w:val="0"/>
                <w:sz w:val="22"/>
                <w:lang w:val="en-US" w:eastAsia="zh-CN" w:bidi="ar"/>
              </w:rPr>
              <w:t>20</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30231</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5.00</w:t>
            </w:r>
          </w:p>
        </w:tc>
        <w:tc>
          <w:tcPr>
            <w:tcW w:w="928"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335" w:hRule="atLeast"/>
        </w:trPr>
        <w:tc>
          <w:tcPr>
            <w:tcW w:w="1032"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1</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30239</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其他交通费用</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7.96</w:t>
            </w:r>
          </w:p>
        </w:tc>
        <w:tc>
          <w:tcPr>
            <w:tcW w:w="928"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7.96</w:t>
            </w:r>
          </w:p>
        </w:tc>
      </w:tr>
      <w:tr>
        <w:tblPrEx>
          <w:tblCellMar>
            <w:top w:w="0" w:type="dxa"/>
            <w:left w:w="108" w:type="dxa"/>
            <w:bottom w:w="0" w:type="dxa"/>
            <w:right w:w="108" w:type="dxa"/>
          </w:tblCellMar>
        </w:tblPrEx>
        <w:trPr>
          <w:trHeight w:val="330" w:hRule="atLeast"/>
        </w:trPr>
        <w:tc>
          <w:tcPr>
            <w:tcW w:w="1032"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2</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30299</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0.64</w:t>
            </w:r>
          </w:p>
        </w:tc>
        <w:tc>
          <w:tcPr>
            <w:tcW w:w="928"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33"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0.64</w:t>
            </w:r>
          </w:p>
        </w:tc>
      </w:tr>
      <w:tr>
        <w:tblPrEx>
          <w:tblCellMar>
            <w:top w:w="0" w:type="dxa"/>
            <w:left w:w="108" w:type="dxa"/>
            <w:bottom w:w="0" w:type="dxa"/>
            <w:right w:w="108" w:type="dxa"/>
          </w:tblCellMar>
        </w:tblPrEx>
        <w:trPr>
          <w:trHeight w:val="330" w:hRule="atLeast"/>
        </w:trPr>
        <w:tc>
          <w:tcPr>
            <w:tcW w:w="1032" w:type="dxa"/>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3</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303</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5.23</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5.23</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344"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eastAsia="宋体" w:cs="宋体"/>
                <w:color w:val="000000"/>
                <w:kern w:val="0"/>
                <w:sz w:val="22"/>
                <w:lang w:val="en-US" w:eastAsia="zh-CN" w:bidi="ar"/>
              </w:rPr>
              <w:t>4</w:t>
            </w:r>
          </w:p>
        </w:tc>
        <w:tc>
          <w:tcPr>
            <w:tcW w:w="580"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30305</w:t>
            </w:r>
          </w:p>
        </w:tc>
        <w:tc>
          <w:tcPr>
            <w:tcW w:w="174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生活补助</w:t>
            </w:r>
          </w:p>
        </w:tc>
        <w:tc>
          <w:tcPr>
            <w:tcW w:w="46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5.23</w:t>
            </w:r>
          </w:p>
        </w:tc>
        <w:tc>
          <w:tcPr>
            <w:tcW w:w="92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right"/>
              <w:textAlignment w:val="top"/>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5.23</w:t>
            </w:r>
          </w:p>
        </w:tc>
        <w:tc>
          <w:tcPr>
            <w:tcW w:w="9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bl>
    <w:p/>
    <w:p/>
    <w:p/>
    <w:p/>
    <w:p/>
    <w:p/>
    <w:p/>
    <w:p/>
    <w:p/>
    <w:p/>
    <w:p/>
    <w:p/>
    <w:p/>
    <w:p/>
    <w:p/>
    <w:p/>
    <w:p/>
    <w:p/>
    <w:p/>
    <w:p/>
    <w:p/>
    <w:p/>
    <w:p/>
    <w:p/>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lang w:val="en-US" w:eastAsia="zh-CN"/>
              </w:rPr>
              <w:t>816001涞水县龙门乡人民政府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24"/>
              <w:rPr>
                <w:rFonts w:hint="eastAsia" w:ascii="宋体" w:hAnsi="宋体" w:eastAsia="宋体" w:cs="宋体"/>
                <w:sz w:val="21"/>
                <w:szCs w:val="21"/>
                <w:lang w:val="en-US" w:eastAsia="zh-CN"/>
              </w:rPr>
            </w:pPr>
            <w:bookmarkStart w:id="7" w:name="_GoBack"/>
            <w:bookmarkEnd w:id="7"/>
            <w:r>
              <w:rPr>
                <w:rFonts w:hint="eastAsia" w:ascii="宋体" w:hAnsi="宋体" w:eastAsia="宋体" w:cs="宋体"/>
                <w:sz w:val="21"/>
                <w:szCs w:val="21"/>
              </w:rPr>
              <w:t>预算年度：202</w:t>
            </w:r>
            <w:r>
              <w:rPr>
                <w:rFonts w:hint="eastAsia" w:ascii="宋体" w:hAnsi="宋体" w:eastAsia="宋体" w:cs="宋体"/>
                <w:sz w:val="21"/>
                <w:szCs w:val="21"/>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2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4"/>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4"/>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4"/>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4"/>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p>
        </w:tc>
        <w:tc>
          <w:tcPr>
            <w:tcW w:w="4535" w:type="dxa"/>
            <w:vAlign w:val="center"/>
          </w:tcPr>
          <w:p>
            <w:pPr>
              <w:pStyle w:val="16"/>
              <w:rPr>
                <w:rFonts w:hint="eastAsia" w:ascii="宋体" w:hAnsi="宋体" w:eastAsia="宋体" w:cs="宋体"/>
                <w:sz w:val="21"/>
                <w:szCs w:val="21"/>
              </w:rPr>
            </w:pPr>
          </w:p>
        </w:tc>
        <w:tc>
          <w:tcPr>
            <w:tcW w:w="2551" w:type="dxa"/>
            <w:vAlign w:val="center"/>
          </w:tcPr>
          <w:p>
            <w:pPr>
              <w:pStyle w:val="15"/>
              <w:rPr>
                <w:rFonts w:hint="eastAsia" w:ascii="宋体" w:hAnsi="宋体" w:eastAsia="宋体" w:cs="宋体"/>
                <w:sz w:val="21"/>
                <w:szCs w:val="21"/>
              </w:rPr>
            </w:pPr>
          </w:p>
        </w:tc>
        <w:tc>
          <w:tcPr>
            <w:tcW w:w="2551" w:type="dxa"/>
            <w:vAlign w:val="center"/>
          </w:tcPr>
          <w:p>
            <w:pPr>
              <w:pStyle w:val="15"/>
              <w:rPr>
                <w:rFonts w:hint="eastAsia" w:ascii="宋体" w:hAnsi="宋体" w:eastAsia="宋体" w:cs="宋体"/>
                <w:sz w:val="21"/>
                <w:szCs w:val="21"/>
              </w:rPr>
            </w:pPr>
          </w:p>
        </w:tc>
        <w:tc>
          <w:tcPr>
            <w:tcW w:w="2551" w:type="dxa"/>
            <w:vAlign w:val="center"/>
          </w:tcPr>
          <w:p>
            <w:pPr>
              <w:pStyle w:val="15"/>
              <w:rPr>
                <w:rFonts w:hint="eastAsia" w:ascii="宋体" w:hAnsi="宋体" w:eastAsia="宋体" w:cs="宋体"/>
                <w:sz w:val="21"/>
                <w:szCs w:val="21"/>
              </w:rPr>
            </w:pPr>
          </w:p>
        </w:tc>
      </w:tr>
    </w:tbl>
    <w:p>
      <w:pPr>
        <w:ind w:firstLine="420"/>
        <w:rPr>
          <w:rFonts w:hint="eastAsia" w:ascii="宋体" w:hAnsi="宋体" w:eastAsia="宋体" w:cs="宋体"/>
          <w:sz w:val="21"/>
          <w:szCs w:val="21"/>
        </w:rPr>
        <w:sectPr>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本单位本年度</w:t>
      </w:r>
      <w:r>
        <w:rPr>
          <w:rFonts w:hint="eastAsia" w:ascii="宋体" w:hAnsi="宋体" w:eastAsia="宋体" w:cs="宋体"/>
          <w:color w:val="000000"/>
          <w:sz w:val="21"/>
          <w:szCs w:val="21"/>
        </w:rPr>
        <w:t>无政府基金预算财政拨款预算，</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lang w:val="en-US" w:eastAsia="zh-CN"/>
              </w:rPr>
              <w:t>816001涞水县龙门乡人民政府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2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2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4"/>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4"/>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4"/>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4"/>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p>
        </w:tc>
        <w:tc>
          <w:tcPr>
            <w:tcW w:w="4535" w:type="dxa"/>
            <w:vAlign w:val="center"/>
          </w:tcPr>
          <w:p>
            <w:pPr>
              <w:pStyle w:val="16"/>
              <w:rPr>
                <w:rFonts w:hint="eastAsia" w:ascii="宋体" w:hAnsi="宋体" w:eastAsia="宋体" w:cs="宋体"/>
                <w:sz w:val="21"/>
                <w:szCs w:val="21"/>
              </w:rPr>
            </w:pPr>
          </w:p>
        </w:tc>
        <w:tc>
          <w:tcPr>
            <w:tcW w:w="2551" w:type="dxa"/>
            <w:vAlign w:val="center"/>
          </w:tcPr>
          <w:p>
            <w:pPr>
              <w:pStyle w:val="15"/>
              <w:rPr>
                <w:rFonts w:hint="eastAsia" w:ascii="宋体" w:hAnsi="宋体" w:eastAsia="宋体" w:cs="宋体"/>
                <w:sz w:val="21"/>
                <w:szCs w:val="21"/>
              </w:rPr>
            </w:pPr>
          </w:p>
        </w:tc>
        <w:tc>
          <w:tcPr>
            <w:tcW w:w="2551" w:type="dxa"/>
            <w:vAlign w:val="center"/>
          </w:tcPr>
          <w:p>
            <w:pPr>
              <w:pStyle w:val="15"/>
              <w:rPr>
                <w:rFonts w:hint="eastAsia" w:ascii="宋体" w:hAnsi="宋体" w:eastAsia="宋体" w:cs="宋体"/>
                <w:sz w:val="21"/>
                <w:szCs w:val="21"/>
              </w:rPr>
            </w:pPr>
          </w:p>
        </w:tc>
        <w:tc>
          <w:tcPr>
            <w:tcW w:w="2551" w:type="dxa"/>
            <w:vAlign w:val="center"/>
          </w:tcPr>
          <w:p>
            <w:pPr>
              <w:pStyle w:val="15"/>
              <w:rPr>
                <w:rFonts w:hint="eastAsia" w:ascii="宋体" w:hAnsi="宋体" w:eastAsia="宋体" w:cs="宋体"/>
                <w:sz w:val="21"/>
                <w:szCs w:val="21"/>
              </w:rPr>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本单位本年度</w:t>
      </w:r>
      <w:r>
        <w:rPr>
          <w:rFonts w:hint="eastAsia" w:ascii="宋体" w:hAnsi="宋体" w:eastAsia="宋体" w:cs="宋体"/>
          <w:color w:val="000000"/>
          <w:sz w:val="21"/>
          <w:szCs w:val="21"/>
        </w:rPr>
        <w:t>无国有资本经营预算财政拨款预算，</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r>
        <w:rPr>
          <w:rFonts w:hint="eastAsia" w:ascii="宋体" w:hAnsi="宋体" w:eastAsia="宋体" w:cs="宋体"/>
          <w:color w:val="000000"/>
          <w:sz w:val="21"/>
          <w:szCs w:val="21"/>
          <w:lang w:eastAsia="zh-CN"/>
        </w:rPr>
        <w:t>。</w:t>
      </w:r>
    </w:p>
    <w:tbl>
      <w:tblPr>
        <w:tblStyle w:val="8"/>
        <w:tblW w:w="5000" w:type="pct"/>
        <w:tblInd w:w="0" w:type="dxa"/>
        <w:tblLayout w:type="autofit"/>
        <w:tblCellMar>
          <w:top w:w="0" w:type="dxa"/>
          <w:left w:w="108" w:type="dxa"/>
          <w:bottom w:w="0" w:type="dxa"/>
          <w:right w:w="108" w:type="dxa"/>
        </w:tblCellMar>
      </w:tblPr>
      <w:tblGrid>
        <w:gridCol w:w="686"/>
        <w:gridCol w:w="4647"/>
        <w:gridCol w:w="686"/>
        <w:gridCol w:w="2570"/>
        <w:gridCol w:w="2322"/>
        <w:gridCol w:w="3027"/>
      </w:tblGrid>
      <w:tr>
        <w:tblPrEx>
          <w:tblCellMar>
            <w:top w:w="0" w:type="dxa"/>
            <w:left w:w="108" w:type="dxa"/>
            <w:bottom w:w="0" w:type="dxa"/>
            <w:right w:w="108" w:type="dxa"/>
          </w:tblCellMar>
        </w:tblPrEx>
        <w:trPr>
          <w:trHeight w:val="1200" w:hRule="atLeast"/>
        </w:trPr>
        <w:tc>
          <w:tcPr>
            <w:tcW w:w="5000" w:type="pct"/>
            <w:gridSpan w:val="6"/>
            <w:tcBorders>
              <w:top w:val="nil"/>
              <w:left w:val="nil"/>
              <w:bottom w:val="nil"/>
              <w:right w:val="nil"/>
            </w:tcBorders>
            <w:noWrap/>
            <w:vAlign w:val="center"/>
          </w:tcPr>
          <w:p>
            <w:pPr>
              <w:widowControl/>
              <w:jc w:val="center"/>
              <w:textAlignment w:val="center"/>
              <w:rPr>
                <w:rFonts w:ascii="黑体" w:hAnsi="宋体" w:eastAsia="黑体" w:cs="黑体"/>
                <w:color w:val="000000"/>
                <w:sz w:val="48"/>
                <w:szCs w:val="48"/>
              </w:rPr>
            </w:pPr>
            <w:r>
              <w:rPr>
                <w:rFonts w:hint="eastAsia" w:ascii="黑体" w:hAnsi="宋体" w:eastAsia="黑体" w:cs="黑体"/>
                <w:color w:val="000000"/>
                <w:kern w:val="0"/>
                <w:sz w:val="48"/>
                <w:szCs w:val="48"/>
                <w:lang w:val="en-US" w:eastAsia="zh-CN" w:bidi="ar"/>
              </w:rPr>
              <w:t>单位</w:t>
            </w:r>
            <w:r>
              <w:rPr>
                <w:rFonts w:hint="eastAsia" w:ascii="黑体" w:hAnsi="宋体" w:eastAsia="黑体" w:cs="黑体"/>
                <w:color w:val="000000"/>
                <w:kern w:val="0"/>
                <w:sz w:val="48"/>
                <w:szCs w:val="48"/>
                <w:lang w:bidi="ar"/>
              </w:rPr>
              <w:t>预算财政拨款“三公”经费支出表</w:t>
            </w:r>
          </w:p>
        </w:tc>
      </w:tr>
      <w:tr>
        <w:tblPrEx>
          <w:tblCellMar>
            <w:top w:w="0" w:type="dxa"/>
            <w:left w:w="108" w:type="dxa"/>
            <w:bottom w:w="0" w:type="dxa"/>
            <w:right w:w="108" w:type="dxa"/>
          </w:tblCellMar>
        </w:tblPrEx>
        <w:trPr>
          <w:trHeight w:val="360" w:hRule="atLeast"/>
        </w:trPr>
        <w:tc>
          <w:tcPr>
            <w:tcW w:w="3081" w:type="pct"/>
            <w:gridSpan w:val="4"/>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预算单位编码及名称：[816</w:t>
            </w:r>
            <w:r>
              <w:rPr>
                <w:rFonts w:hint="eastAsia" w:ascii="宋体" w:hAnsi="宋体" w:eastAsia="宋体" w:cs="宋体"/>
                <w:color w:val="000000"/>
                <w:kern w:val="0"/>
                <w:sz w:val="22"/>
                <w:lang w:val="en-US" w:eastAsia="zh-CN" w:bidi="ar"/>
              </w:rPr>
              <w:t>001</w:t>
            </w:r>
            <w:r>
              <w:rPr>
                <w:rFonts w:hint="eastAsia" w:ascii="宋体" w:hAnsi="宋体" w:cs="宋体"/>
                <w:color w:val="000000"/>
                <w:kern w:val="0"/>
                <w:sz w:val="22"/>
                <w:lang w:bidi="ar"/>
              </w:rPr>
              <w:t>]涞水县龙门乡人民政府</w:t>
            </w:r>
            <w:r>
              <w:rPr>
                <w:rFonts w:hint="eastAsia" w:ascii="宋体" w:hAnsi="宋体" w:eastAsia="宋体" w:cs="宋体"/>
                <w:sz w:val="21"/>
                <w:szCs w:val="21"/>
              </w:rPr>
              <w:t>（本级）</w:t>
            </w:r>
          </w:p>
        </w:tc>
        <w:tc>
          <w:tcPr>
            <w:tcW w:w="833" w:type="pct"/>
            <w:tcBorders>
              <w:top w:val="nil"/>
              <w:left w:val="nil"/>
              <w:bottom w:val="nil"/>
              <w:right w:val="nil"/>
            </w:tcBorders>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预算年度：202</w:t>
            </w:r>
            <w:r>
              <w:rPr>
                <w:rFonts w:hint="eastAsia" w:ascii="宋体" w:hAnsi="宋体" w:cs="宋体"/>
                <w:color w:val="000000"/>
                <w:kern w:val="0"/>
                <w:sz w:val="22"/>
                <w:lang w:val="en-US" w:eastAsia="zh-CN" w:bidi="ar"/>
              </w:rPr>
              <w:t>4</w:t>
            </w:r>
          </w:p>
        </w:tc>
        <w:tc>
          <w:tcPr>
            <w:tcW w:w="1085" w:type="pct"/>
            <w:tcBorders>
              <w:top w:val="nil"/>
              <w:left w:val="nil"/>
              <w:bottom w:val="nil"/>
              <w:right w:val="nil"/>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360" w:hRule="atLeast"/>
        </w:trPr>
        <w:tc>
          <w:tcPr>
            <w:tcW w:w="2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序号</w:t>
            </w:r>
          </w:p>
        </w:tc>
        <w:tc>
          <w:tcPr>
            <w:tcW w:w="166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3086"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资金性质</w:t>
            </w:r>
          </w:p>
        </w:tc>
      </w:tr>
      <w:tr>
        <w:tblPrEx>
          <w:tblCellMar>
            <w:top w:w="0" w:type="dxa"/>
            <w:left w:w="108" w:type="dxa"/>
            <w:bottom w:w="0" w:type="dxa"/>
            <w:right w:w="108" w:type="dxa"/>
          </w:tblCellMar>
        </w:tblPrEx>
        <w:trPr>
          <w:trHeight w:val="360" w:hRule="atLeast"/>
        </w:trPr>
        <w:tc>
          <w:tcPr>
            <w:tcW w:w="24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6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92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一般公共预算财政拨款</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政府性基金财政拨款</w:t>
            </w:r>
          </w:p>
        </w:tc>
        <w:tc>
          <w:tcPr>
            <w:tcW w:w="10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360" w:hRule="atLeast"/>
        </w:trPr>
        <w:tc>
          <w:tcPr>
            <w:tcW w:w="2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92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0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r>
      <w:tr>
        <w:tblPrEx>
          <w:tblCellMar>
            <w:top w:w="0" w:type="dxa"/>
            <w:left w:w="108" w:type="dxa"/>
            <w:bottom w:w="0" w:type="dxa"/>
            <w:right w:w="108" w:type="dxa"/>
          </w:tblCellMar>
        </w:tblPrEx>
        <w:trPr>
          <w:trHeight w:val="330" w:hRule="atLeast"/>
        </w:trPr>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w:t>
            </w:r>
          </w:p>
        </w:tc>
        <w:tc>
          <w:tcPr>
            <w:tcW w:w="1667"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合计</w:t>
            </w:r>
          </w:p>
        </w:tc>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sz w:val="22"/>
              </w:rPr>
            </w:pPr>
            <w:r>
              <w:rPr>
                <w:rFonts w:hint="eastAsia" w:ascii="宋体" w:hAnsi="宋体" w:cs="宋体"/>
                <w:color w:val="000000"/>
                <w:kern w:val="0"/>
                <w:sz w:val="22"/>
                <w:lang w:bidi="ar"/>
              </w:rPr>
              <w:t xml:space="preserve">5.50 </w:t>
            </w:r>
          </w:p>
        </w:tc>
        <w:tc>
          <w:tcPr>
            <w:tcW w:w="920"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sz w:val="22"/>
              </w:rPr>
            </w:pPr>
            <w:r>
              <w:rPr>
                <w:rFonts w:hint="eastAsia" w:ascii="宋体" w:hAnsi="宋体" w:cs="宋体"/>
                <w:color w:val="000000"/>
                <w:kern w:val="0"/>
                <w:sz w:val="22"/>
                <w:lang w:bidi="ar"/>
              </w:rPr>
              <w:t xml:space="preserve">5.50 </w:t>
            </w:r>
          </w:p>
        </w:tc>
        <w:tc>
          <w:tcPr>
            <w:tcW w:w="8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085"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w:t>
            </w:r>
          </w:p>
        </w:tc>
        <w:tc>
          <w:tcPr>
            <w:tcW w:w="1667"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“三公”经费小计</w:t>
            </w:r>
          </w:p>
        </w:tc>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kern w:val="2"/>
                <w:sz w:val="22"/>
                <w:szCs w:val="22"/>
                <w:lang w:val="en-US" w:eastAsia="zh-CN" w:bidi="ar-SA"/>
              </w:rPr>
            </w:pPr>
            <w:r>
              <w:rPr>
                <w:rFonts w:hint="eastAsia" w:ascii="宋体" w:hAnsi="宋体" w:cs="宋体"/>
                <w:color w:val="000000"/>
                <w:kern w:val="0"/>
                <w:sz w:val="22"/>
                <w:lang w:bidi="ar"/>
              </w:rPr>
              <w:t xml:space="preserve">5.50 </w:t>
            </w:r>
          </w:p>
        </w:tc>
        <w:tc>
          <w:tcPr>
            <w:tcW w:w="920"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kern w:val="2"/>
                <w:sz w:val="22"/>
                <w:szCs w:val="22"/>
                <w:lang w:val="en-US" w:eastAsia="zh-CN" w:bidi="ar-SA"/>
              </w:rPr>
            </w:pPr>
            <w:r>
              <w:rPr>
                <w:rFonts w:hint="eastAsia" w:ascii="宋体" w:hAnsi="宋体" w:cs="宋体"/>
                <w:color w:val="000000"/>
                <w:kern w:val="0"/>
                <w:sz w:val="22"/>
                <w:lang w:bidi="ar"/>
              </w:rPr>
              <w:t xml:space="preserve">5.50 </w:t>
            </w:r>
          </w:p>
        </w:tc>
        <w:tc>
          <w:tcPr>
            <w:tcW w:w="8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085"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3</w:t>
            </w:r>
          </w:p>
        </w:tc>
        <w:tc>
          <w:tcPr>
            <w:tcW w:w="1667"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一、因公出国（境）费</w:t>
            </w:r>
          </w:p>
        </w:tc>
        <w:tc>
          <w:tcPr>
            <w:tcW w:w="246"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20"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8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085"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4</w:t>
            </w:r>
          </w:p>
        </w:tc>
        <w:tc>
          <w:tcPr>
            <w:tcW w:w="1667"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 xml:space="preserve">    其中：教学科研人员因公出国（境）费</w:t>
            </w:r>
          </w:p>
        </w:tc>
        <w:tc>
          <w:tcPr>
            <w:tcW w:w="246"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20"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8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085"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5</w:t>
            </w:r>
          </w:p>
        </w:tc>
        <w:tc>
          <w:tcPr>
            <w:tcW w:w="1667"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 xml:space="preserve">          其他因公出国（境）费</w:t>
            </w:r>
          </w:p>
        </w:tc>
        <w:tc>
          <w:tcPr>
            <w:tcW w:w="246"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20"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8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085"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6</w:t>
            </w:r>
          </w:p>
        </w:tc>
        <w:tc>
          <w:tcPr>
            <w:tcW w:w="1667"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二、公务用车购置及运维费</w:t>
            </w:r>
          </w:p>
        </w:tc>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kern w:val="2"/>
                <w:sz w:val="22"/>
                <w:szCs w:val="22"/>
                <w:lang w:val="en-US" w:eastAsia="zh-CN" w:bidi="ar-SA"/>
              </w:rPr>
            </w:pPr>
            <w:r>
              <w:rPr>
                <w:rFonts w:hint="eastAsia" w:ascii="宋体" w:hAnsi="宋体" w:cs="宋体"/>
                <w:color w:val="000000"/>
                <w:kern w:val="0"/>
                <w:sz w:val="22"/>
                <w:lang w:bidi="ar"/>
              </w:rPr>
              <w:t>5.00</w:t>
            </w:r>
          </w:p>
        </w:tc>
        <w:tc>
          <w:tcPr>
            <w:tcW w:w="920"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kern w:val="2"/>
                <w:sz w:val="22"/>
                <w:szCs w:val="22"/>
                <w:lang w:val="en-US" w:eastAsia="zh-CN" w:bidi="ar-SA"/>
              </w:rPr>
            </w:pPr>
            <w:r>
              <w:rPr>
                <w:rFonts w:hint="eastAsia" w:ascii="宋体" w:hAnsi="宋体" w:cs="宋体"/>
                <w:color w:val="000000"/>
                <w:kern w:val="0"/>
                <w:sz w:val="22"/>
                <w:lang w:bidi="ar"/>
              </w:rPr>
              <w:t>5.00</w:t>
            </w:r>
          </w:p>
        </w:tc>
        <w:tc>
          <w:tcPr>
            <w:tcW w:w="8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085"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7</w:t>
            </w:r>
          </w:p>
        </w:tc>
        <w:tc>
          <w:tcPr>
            <w:tcW w:w="1667"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 xml:space="preserve">    其中：公务用车购置费</w:t>
            </w:r>
          </w:p>
        </w:tc>
        <w:tc>
          <w:tcPr>
            <w:tcW w:w="246"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20"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8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085"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8</w:t>
            </w:r>
          </w:p>
        </w:tc>
        <w:tc>
          <w:tcPr>
            <w:tcW w:w="1667"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 xml:space="preserve">          公务用车运行维护费</w:t>
            </w:r>
          </w:p>
        </w:tc>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sz w:val="22"/>
              </w:rPr>
            </w:pPr>
            <w:r>
              <w:rPr>
                <w:rFonts w:hint="eastAsia" w:ascii="宋体" w:hAnsi="宋体" w:cs="宋体"/>
                <w:color w:val="000000"/>
                <w:kern w:val="0"/>
                <w:sz w:val="22"/>
                <w:lang w:bidi="ar"/>
              </w:rPr>
              <w:t>5.00</w:t>
            </w:r>
          </w:p>
        </w:tc>
        <w:tc>
          <w:tcPr>
            <w:tcW w:w="920"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sz w:val="22"/>
              </w:rPr>
            </w:pPr>
            <w:r>
              <w:rPr>
                <w:rFonts w:hint="eastAsia" w:ascii="宋体" w:hAnsi="宋体" w:cs="宋体"/>
                <w:color w:val="000000"/>
                <w:kern w:val="0"/>
                <w:sz w:val="22"/>
                <w:lang w:bidi="ar"/>
              </w:rPr>
              <w:t>5.00</w:t>
            </w:r>
          </w:p>
        </w:tc>
        <w:tc>
          <w:tcPr>
            <w:tcW w:w="8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085"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9</w:t>
            </w:r>
          </w:p>
        </w:tc>
        <w:tc>
          <w:tcPr>
            <w:tcW w:w="1667"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三、公务接待费</w:t>
            </w:r>
          </w:p>
        </w:tc>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sz w:val="22"/>
              </w:rPr>
            </w:pPr>
            <w:r>
              <w:rPr>
                <w:rFonts w:hint="eastAsia" w:ascii="宋体" w:hAnsi="宋体" w:cs="宋体"/>
                <w:color w:val="000000"/>
                <w:kern w:val="0"/>
                <w:sz w:val="22"/>
                <w:lang w:bidi="ar"/>
              </w:rPr>
              <w:t>0.50</w:t>
            </w:r>
          </w:p>
        </w:tc>
        <w:tc>
          <w:tcPr>
            <w:tcW w:w="920" w:type="pct"/>
            <w:tcBorders>
              <w:top w:val="single" w:color="000000" w:sz="4" w:space="0"/>
              <w:left w:val="single" w:color="000000" w:sz="4" w:space="0"/>
              <w:bottom w:val="single" w:color="000000" w:sz="4" w:space="0"/>
              <w:right w:val="single" w:color="000000" w:sz="4" w:space="0"/>
            </w:tcBorders>
            <w:noWrap/>
            <w:vAlign w:val="top"/>
          </w:tcPr>
          <w:p>
            <w:pPr>
              <w:widowControl/>
              <w:jc w:val="right"/>
              <w:textAlignment w:val="top"/>
              <w:rPr>
                <w:rFonts w:hint="eastAsia" w:ascii="宋体" w:hAnsi="宋体" w:cs="宋体"/>
                <w:color w:val="000000"/>
                <w:sz w:val="22"/>
              </w:rPr>
            </w:pPr>
            <w:r>
              <w:rPr>
                <w:rFonts w:hint="eastAsia" w:ascii="宋体" w:hAnsi="宋体" w:cs="宋体"/>
                <w:color w:val="000000"/>
                <w:kern w:val="0"/>
                <w:sz w:val="22"/>
                <w:lang w:bidi="ar"/>
              </w:rPr>
              <w:t>0.50</w:t>
            </w:r>
          </w:p>
        </w:tc>
        <w:tc>
          <w:tcPr>
            <w:tcW w:w="8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085"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10</w:t>
            </w:r>
          </w:p>
        </w:tc>
        <w:tc>
          <w:tcPr>
            <w:tcW w:w="1667"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四、会议费</w:t>
            </w:r>
          </w:p>
        </w:tc>
        <w:tc>
          <w:tcPr>
            <w:tcW w:w="246"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20"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8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085"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30" w:hRule="atLeast"/>
        </w:trPr>
        <w:tc>
          <w:tcPr>
            <w:tcW w:w="24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11</w:t>
            </w:r>
          </w:p>
        </w:tc>
        <w:tc>
          <w:tcPr>
            <w:tcW w:w="1667"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五、培训费</w:t>
            </w:r>
          </w:p>
        </w:tc>
        <w:tc>
          <w:tcPr>
            <w:tcW w:w="246"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920"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833"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c>
          <w:tcPr>
            <w:tcW w:w="1085" w:type="pct"/>
            <w:tcBorders>
              <w:top w:val="single" w:color="000000" w:sz="4" w:space="0"/>
              <w:left w:val="single" w:color="000000" w:sz="4" w:space="0"/>
              <w:bottom w:val="single" w:color="000000" w:sz="4" w:space="0"/>
              <w:right w:val="single" w:color="000000" w:sz="4" w:space="0"/>
            </w:tcBorders>
            <w:noWrap/>
            <w:vAlign w:val="top"/>
          </w:tcPr>
          <w:p>
            <w:pPr>
              <w:jc w:val="right"/>
              <w:rPr>
                <w:rFonts w:hint="eastAsia" w:ascii="宋体" w:hAnsi="宋体" w:cs="宋体"/>
                <w:color w:val="000000"/>
                <w:sz w:val="22"/>
              </w:rPr>
            </w:pPr>
          </w:p>
        </w:tc>
      </w:tr>
    </w:tbl>
    <w:p>
      <w:pPr>
        <w:jc w:val="center"/>
        <w:outlineLvl w:val="4"/>
        <w:rPr>
          <w:rFonts w:hint="eastAsia" w:ascii="黑体" w:hAnsi="黑体" w:eastAsia="黑体" w:cs="黑体"/>
          <w:color w:val="000000"/>
          <w:sz w:val="44"/>
          <w:szCs w:val="44"/>
        </w:rPr>
      </w:pPr>
    </w:p>
    <w:p/>
    <w:p/>
    <w:p/>
    <w:p/>
    <w:p/>
    <w:p/>
    <w:p/>
    <w:p/>
    <w:p>
      <w:pPr>
        <w:jc w:val="center"/>
        <w:outlineLvl w:val="4"/>
        <w:rPr>
          <w:rFonts w:ascii="黑体" w:hAnsi="黑体" w:eastAsia="黑体" w:cs="黑体"/>
          <w:color w:val="000000"/>
          <w:sz w:val="44"/>
          <w:szCs w:val="44"/>
        </w:rPr>
      </w:pPr>
      <w:r>
        <w:rPr>
          <w:rFonts w:hint="eastAsia" w:ascii="黑体" w:hAnsi="黑体" w:eastAsia="黑体" w:cs="黑体"/>
          <w:color w:val="000000"/>
          <w:sz w:val="44"/>
          <w:szCs w:val="44"/>
          <w:lang w:eastAsia="zh-CN"/>
        </w:rPr>
        <w:t>涞水县龙门乡人民政府</w:t>
      </w:r>
      <w:r>
        <w:rPr>
          <w:rFonts w:hint="eastAsia" w:ascii="黑体" w:hAnsi="黑体" w:eastAsia="黑体" w:cs="黑体"/>
          <w:color w:val="000000"/>
          <w:sz w:val="44"/>
          <w:szCs w:val="44"/>
        </w:rPr>
        <w:t>（本级）</w:t>
      </w:r>
    </w:p>
    <w:p>
      <w:pPr>
        <w:jc w:val="center"/>
        <w:outlineLvl w:val="4"/>
        <w:rPr>
          <w:rFonts w:ascii="黑体" w:hAnsi="黑体" w:eastAsia="黑体" w:cs="黑体"/>
          <w:sz w:val="44"/>
          <w:szCs w:val="44"/>
        </w:rPr>
      </w:pPr>
      <w:r>
        <w:rPr>
          <w:rFonts w:hint="eastAsia" w:ascii="黑体" w:hAnsi="黑体" w:eastAsia="黑体" w:cs="黑体"/>
          <w:color w:val="000000"/>
          <w:sz w:val="44"/>
          <w:szCs w:val="44"/>
        </w:rPr>
        <w:t>202</w:t>
      </w:r>
      <w:r>
        <w:rPr>
          <w:rFonts w:hint="eastAsia" w:ascii="黑体" w:hAnsi="黑体" w:eastAsia="黑体" w:cs="黑体"/>
          <w:color w:val="000000"/>
          <w:sz w:val="44"/>
          <w:szCs w:val="44"/>
          <w:lang w:val="en-US" w:eastAsia="zh-CN"/>
        </w:rPr>
        <w:t>4</w:t>
      </w:r>
      <w:r>
        <w:rPr>
          <w:rFonts w:hint="eastAsia" w:ascii="黑体" w:hAnsi="黑体" w:eastAsia="黑体" w:cs="黑体"/>
          <w:color w:val="000000"/>
          <w:sz w:val="44"/>
          <w:szCs w:val="44"/>
        </w:rPr>
        <w:t>年单位预算信息公开情况说明</w:t>
      </w:r>
    </w:p>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w:t>
      </w:r>
      <w:r>
        <w:rPr>
          <w:rFonts w:hint="eastAsia" w:ascii="仿宋" w:hAnsi="仿宋" w:eastAsia="仿宋" w:cs="仿宋"/>
          <w:color w:val="000000"/>
          <w:sz w:val="32"/>
          <w:szCs w:val="32"/>
        </w:rPr>
        <w:t>预算法》、《地方预决算公开操作规程》和《关于进一步推进预算公开工作的实施意见》规定，现将</w:t>
      </w:r>
      <w:r>
        <w:rPr>
          <w:rFonts w:hint="eastAsia" w:ascii="仿宋" w:hAnsi="仿宋" w:eastAsia="仿宋" w:cs="仿宋"/>
          <w:color w:val="000000"/>
          <w:sz w:val="32"/>
          <w:szCs w:val="32"/>
          <w:lang w:eastAsia="zh-CN"/>
        </w:rPr>
        <w:t>涞水县龙门乡人民政府</w:t>
      </w:r>
      <w:r>
        <w:rPr>
          <w:rFonts w:hint="eastAsia" w:ascii="仿宋" w:hAnsi="仿宋" w:eastAsia="仿宋" w:cs="仿宋"/>
          <w:color w:val="000000"/>
          <w:sz w:val="32"/>
          <w:szCs w:val="32"/>
        </w:rPr>
        <w:t>（本级）202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年单位预算公开如下：</w:t>
      </w:r>
    </w:p>
    <w:p>
      <w:pPr>
        <w:rPr>
          <w:rFonts w:ascii="仿宋" w:hAnsi="仿宋" w:eastAsia="仿宋" w:cs="仿宋"/>
          <w:sz w:val="32"/>
          <w:szCs w:val="32"/>
        </w:rPr>
      </w:pPr>
    </w:p>
    <w:p>
      <w:pPr>
        <w:spacing w:before="10" w:after="10"/>
        <w:ind w:firstLine="640"/>
        <w:outlineLvl w:val="5"/>
        <w:rPr>
          <w:rFonts w:ascii="仿宋" w:hAnsi="仿宋" w:eastAsia="仿宋" w:cs="仿宋"/>
          <w:sz w:val="32"/>
          <w:szCs w:val="32"/>
        </w:rPr>
      </w:pPr>
      <w:r>
        <w:rPr>
          <w:rFonts w:hint="eastAsia" w:ascii="仿宋" w:hAnsi="仿宋" w:eastAsia="仿宋" w:cs="仿宋"/>
          <w:color w:val="000000"/>
          <w:sz w:val="32"/>
          <w:szCs w:val="32"/>
        </w:rPr>
        <w:t>一、单位职责及机构设置情况</w:t>
      </w:r>
    </w:p>
    <w:p>
      <w:pPr>
        <w:rPr>
          <w:rFonts w:ascii="仿宋" w:hAnsi="仿宋" w:eastAsia="仿宋" w:cs="仿宋"/>
          <w:sz w:val="32"/>
          <w:szCs w:val="32"/>
        </w:rPr>
      </w:pP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根据《涞水县龙门乡人民政府职能配置、内设机构和人员编制规定》，涞水县龙门乡人民政府的主要职责是：</w:t>
      </w:r>
    </w:p>
    <w:p>
      <w:pPr>
        <w:pStyle w:val="11"/>
        <w:rPr>
          <w:rFonts w:ascii="仿宋" w:hAnsi="仿宋" w:eastAsia="仿宋" w:cs="仿宋"/>
          <w:sz w:val="32"/>
          <w:szCs w:val="32"/>
        </w:rPr>
      </w:pPr>
      <w:r>
        <w:rPr>
          <w:rFonts w:hint="eastAsia" w:ascii="仿宋" w:hAnsi="仿宋" w:eastAsia="仿宋" w:cs="仿宋"/>
          <w:sz w:val="32"/>
          <w:szCs w:val="32"/>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1"/>
        <w:rPr>
          <w:rFonts w:ascii="仿宋" w:hAnsi="仿宋" w:eastAsia="仿宋" w:cs="仿宋"/>
          <w:sz w:val="32"/>
          <w:szCs w:val="32"/>
        </w:rPr>
      </w:pPr>
      <w:r>
        <w:rPr>
          <w:rFonts w:hint="eastAsia" w:ascii="仿宋" w:hAnsi="仿宋" w:eastAsia="仿宋" w:cs="仿宋"/>
          <w:sz w:val="32"/>
          <w:szCs w:val="32"/>
        </w:rPr>
        <w:t>二、加强党对基层治理的全面领导，统筹抓好基层党建工作和基层党组织建设各项制度。推进全面从严治党，强化“两个责任”，确保党的路线方针政策在基层得到全面贯彻落实。</w:t>
      </w:r>
    </w:p>
    <w:p>
      <w:pPr>
        <w:pStyle w:val="11"/>
        <w:rPr>
          <w:rFonts w:ascii="仿宋" w:hAnsi="仿宋" w:eastAsia="仿宋" w:cs="仿宋"/>
          <w:sz w:val="32"/>
          <w:szCs w:val="32"/>
        </w:rPr>
      </w:pPr>
      <w:r>
        <w:rPr>
          <w:rFonts w:hint="eastAsia" w:ascii="仿宋" w:hAnsi="仿宋" w:eastAsia="仿宋" w:cs="仿宋"/>
          <w:sz w:val="32"/>
          <w:szCs w:val="32"/>
        </w:rPr>
        <w:t>三、讨论和决定本镇经济建设、政治建设、文化建设、社会建设、生态文明建设和党的建设以及乡村振兴中的重大问题。</w:t>
      </w:r>
    </w:p>
    <w:p>
      <w:pPr>
        <w:pStyle w:val="11"/>
        <w:rPr>
          <w:rFonts w:ascii="仿宋" w:hAnsi="仿宋" w:eastAsia="仿宋" w:cs="仿宋"/>
          <w:sz w:val="32"/>
          <w:szCs w:val="32"/>
        </w:rPr>
      </w:pPr>
      <w:r>
        <w:rPr>
          <w:rFonts w:hint="eastAsia" w:ascii="仿宋" w:hAnsi="仿宋" w:eastAsia="仿宋" w:cs="仿宋"/>
          <w:sz w:val="32"/>
          <w:szCs w:val="32"/>
        </w:rPr>
        <w:t>四、组织召开本级人民代表大会，充分行使重大事项决定权、监督权和任免权，做好人大代表工作，联系选民、反映群众意见和要求。</w:t>
      </w:r>
    </w:p>
    <w:p>
      <w:pPr>
        <w:pStyle w:val="11"/>
        <w:rPr>
          <w:rFonts w:ascii="仿宋" w:hAnsi="仿宋" w:eastAsia="仿宋" w:cs="仿宋"/>
          <w:sz w:val="32"/>
          <w:szCs w:val="32"/>
        </w:rPr>
      </w:pPr>
      <w:r>
        <w:rPr>
          <w:rFonts w:hint="eastAsia" w:ascii="仿宋" w:hAnsi="仿宋" w:eastAsia="仿宋" w:cs="仿宋"/>
          <w:sz w:val="32"/>
          <w:szCs w:val="32"/>
        </w:rP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1"/>
        <w:rPr>
          <w:rFonts w:ascii="仿宋" w:hAnsi="仿宋" w:eastAsia="仿宋" w:cs="仿宋"/>
          <w:sz w:val="32"/>
          <w:szCs w:val="32"/>
        </w:rPr>
      </w:pPr>
      <w:r>
        <w:rPr>
          <w:rFonts w:hint="eastAsia" w:ascii="仿宋" w:hAnsi="仿宋" w:eastAsia="仿宋" w:cs="仿宋"/>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1"/>
        <w:rPr>
          <w:rFonts w:ascii="仿宋" w:hAnsi="仿宋" w:eastAsia="仿宋" w:cs="仿宋"/>
          <w:sz w:val="32"/>
          <w:szCs w:val="32"/>
        </w:rPr>
      </w:pPr>
      <w:r>
        <w:rPr>
          <w:rFonts w:hint="eastAsia" w:ascii="仿宋" w:hAnsi="仿宋" w:eastAsia="仿宋" w:cs="仿宋"/>
          <w:sz w:val="32"/>
          <w:szCs w:val="32"/>
        </w:rP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1"/>
        <w:rPr>
          <w:rFonts w:ascii="仿宋" w:hAnsi="仿宋" w:eastAsia="仿宋" w:cs="仿宋"/>
          <w:sz w:val="32"/>
          <w:szCs w:val="32"/>
        </w:rPr>
      </w:pPr>
      <w:r>
        <w:rPr>
          <w:rFonts w:hint="eastAsia" w:ascii="仿宋" w:hAnsi="仿宋" w:eastAsia="仿宋" w:cs="仿宋"/>
          <w:sz w:val="32"/>
          <w:szCs w:val="32"/>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11"/>
        <w:rPr>
          <w:rFonts w:ascii="仿宋" w:hAnsi="仿宋" w:eastAsia="仿宋" w:cs="仿宋"/>
          <w:sz w:val="32"/>
          <w:szCs w:val="32"/>
        </w:rPr>
      </w:pPr>
      <w:r>
        <w:rPr>
          <w:rFonts w:hint="eastAsia" w:ascii="仿宋" w:hAnsi="仿宋" w:eastAsia="仿宋" w:cs="仿宋"/>
          <w:sz w:val="32"/>
          <w:szCs w:val="32"/>
        </w:rPr>
        <w:t>九、按照干部管理权限，负责对干部的教育、培训、选拔考核和监督工作。协助管理上级有关单位驻本镇单位的干部。做好人才服务工作。</w:t>
      </w:r>
    </w:p>
    <w:p>
      <w:pPr>
        <w:pStyle w:val="11"/>
        <w:rPr>
          <w:rFonts w:ascii="仿宋" w:hAnsi="仿宋" w:eastAsia="仿宋" w:cs="仿宋"/>
          <w:sz w:val="32"/>
          <w:szCs w:val="32"/>
        </w:rPr>
      </w:pPr>
      <w:r>
        <w:rPr>
          <w:rFonts w:hint="eastAsia" w:ascii="仿宋" w:hAnsi="仿宋" w:eastAsia="仿宋" w:cs="仿宋"/>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1"/>
        <w:rPr>
          <w:rFonts w:ascii="仿宋" w:hAnsi="仿宋" w:eastAsia="仿宋" w:cs="仿宋"/>
          <w:sz w:val="32"/>
          <w:szCs w:val="32"/>
        </w:rPr>
      </w:pPr>
      <w:r>
        <w:rPr>
          <w:rFonts w:hint="eastAsia" w:ascii="仿宋" w:hAnsi="仿宋" w:eastAsia="仿宋" w:cs="仿宋"/>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1"/>
        <w:rPr>
          <w:rFonts w:ascii="仿宋" w:hAnsi="仿宋" w:eastAsia="仿宋" w:cs="仿宋"/>
          <w:sz w:val="32"/>
          <w:szCs w:val="32"/>
        </w:rPr>
      </w:pPr>
      <w:r>
        <w:rPr>
          <w:rFonts w:hint="eastAsia" w:ascii="仿宋" w:hAnsi="仿宋" w:eastAsia="仿宋" w:cs="仿宋"/>
          <w:sz w:val="32"/>
          <w:szCs w:val="32"/>
        </w:rPr>
        <w:t>十二、承办上级党委、人大、政府交办的其他事项。</w:t>
      </w:r>
    </w:p>
    <w:p>
      <w:pPr>
        <w:pStyle w:val="11"/>
      </w:pPr>
    </w:p>
    <w:p>
      <w:pPr>
        <w:jc w:val="center"/>
      </w:pPr>
      <w:r>
        <w:rPr>
          <w:rFonts w:hint="eastAsia" w:ascii="方正小标宋_GBK" w:hAnsi="方正小标宋_GBK" w:eastAsia="方正小标宋_GBK" w:cs="方正小标宋_GBK"/>
          <w:color w:val="000000"/>
          <w:sz w:val="32"/>
        </w:rPr>
        <w:t>单位机构设置情况</w:t>
      </w:r>
    </w:p>
    <w:p>
      <w:pPr>
        <w:pStyle w:val="11"/>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涞水县龙门乡人民政府</w:t>
            </w:r>
            <w:r>
              <w:rPr>
                <w:rFonts w:hint="eastAsia"/>
              </w:rPr>
              <w:t>（本级）</w:t>
            </w:r>
          </w:p>
        </w:tc>
        <w:tc>
          <w:tcPr>
            <w:tcW w:w="1843" w:type="dxa"/>
            <w:vAlign w:val="center"/>
          </w:tcPr>
          <w:p>
            <w:pPr>
              <w:pStyle w:val="17"/>
            </w:pPr>
            <w:r>
              <w:rPr>
                <w:rFonts w:hint="eastAsia"/>
              </w:rPr>
              <w:t>行政</w:t>
            </w:r>
          </w:p>
        </w:tc>
        <w:tc>
          <w:tcPr>
            <w:tcW w:w="2126" w:type="dxa"/>
            <w:vAlign w:val="center"/>
          </w:tcPr>
          <w:p>
            <w:pPr>
              <w:pStyle w:val="17"/>
            </w:pPr>
            <w:r>
              <w:rPr>
                <w:rFonts w:hint="eastAsia"/>
              </w:rPr>
              <w:t>正科级</w:t>
            </w:r>
          </w:p>
        </w:tc>
        <w:tc>
          <w:tcPr>
            <w:tcW w:w="3827" w:type="dxa"/>
            <w:vAlign w:val="center"/>
          </w:tcPr>
          <w:p>
            <w:pPr>
              <w:pStyle w:val="17"/>
            </w:pPr>
            <w:r>
              <w:rPr>
                <w:rFonts w:hint="eastAsia"/>
              </w:rP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sz w:val="32"/>
          <w:szCs w:val="32"/>
        </w:rPr>
      </w:pPr>
      <w:r>
        <w:rPr>
          <w:rFonts w:hint="eastAsia" w:ascii="黑体" w:hAnsi="黑体" w:eastAsia="黑体" w:cs="黑体"/>
          <w:color w:val="000000"/>
          <w:sz w:val="32"/>
          <w:szCs w:val="32"/>
        </w:rPr>
        <w:t>二、单位预算安排的总体情况</w:t>
      </w:r>
    </w:p>
    <w:p>
      <w:pPr>
        <w:pStyle w:val="11"/>
        <w:rPr>
          <w:color w:val="000000"/>
        </w:rPr>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pStyle w:val="11"/>
        <w:rPr>
          <w:color w:val="000000"/>
        </w:rPr>
      </w:pPr>
    </w:p>
    <w:p>
      <w:pPr>
        <w:pStyle w:val="11"/>
        <w:rPr>
          <w:color w:val="000000"/>
        </w:rPr>
      </w:pPr>
    </w:p>
    <w:p>
      <w:pPr>
        <w:numPr>
          <w:ilvl w:val="0"/>
          <w:numId w:val="1"/>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机关运行经费安排情况</w:t>
      </w:r>
    </w:p>
    <w:p>
      <w:pPr>
        <w:snapToGrid w:val="0"/>
        <w:spacing w:line="500" w:lineRule="exact"/>
        <w:ind w:firstLine="640" w:firstLineChars="200"/>
        <w:rPr>
          <w:rFonts w:ascii="黑体" w:hAnsi="黑体" w:eastAsia="黑体" w:cs="黑体"/>
          <w:color w:val="000000"/>
          <w:sz w:val="32"/>
        </w:rPr>
      </w:pPr>
      <w:r>
        <w:rPr>
          <w:rFonts w:hint="eastAsia" w:ascii="仿宋_GB2312" w:hAnsi="仿宋_GB2312" w:eastAsia="仿宋_GB2312" w:cs="仿宋_GB2312"/>
          <w:sz w:val="32"/>
          <w:szCs w:val="32"/>
        </w:rPr>
        <w:t>本单位本年度预算安排财政拨款支出主要用于保障该部门机构正常运转、完成日常工作任务以及龙门乡</w:t>
      </w:r>
      <w:r>
        <w:rPr>
          <w:rFonts w:hint="eastAsia" w:ascii="仿宋_GB2312" w:hAnsi="仿宋_GB2312" w:eastAsia="仿宋_GB2312" w:cs="仿宋_GB2312"/>
          <w:sz w:val="32"/>
          <w:szCs w:val="32"/>
          <w:lang w:val="en-US" w:eastAsia="zh-CN"/>
        </w:rPr>
        <w:t>开</w:t>
      </w:r>
      <w:r>
        <w:rPr>
          <w:rFonts w:hint="eastAsia" w:ascii="仿宋_GB2312" w:hAnsi="仿宋_GB2312" w:eastAsia="仿宋_GB2312" w:cs="仿宋_GB2312"/>
          <w:sz w:val="32"/>
          <w:szCs w:val="32"/>
        </w:rPr>
        <w:t>展相关工作。正常公用经费</w:t>
      </w:r>
      <w:r>
        <w:rPr>
          <w:rFonts w:hint="eastAsia" w:ascii="仿宋_GB2312" w:hAnsi="仿宋_GB2312" w:eastAsia="仿宋_GB2312" w:cs="仿宋_GB2312"/>
          <w:sz w:val="32"/>
          <w:szCs w:val="32"/>
          <w:lang w:val="en-US" w:eastAsia="zh-CN"/>
        </w:rPr>
        <w:t>78.41</w:t>
      </w:r>
      <w:r>
        <w:rPr>
          <w:rFonts w:hint="eastAsia" w:ascii="仿宋_GB2312" w:hAnsi="仿宋_GB2312" w:eastAsia="仿宋_GB2312" w:cs="仿宋_GB2312"/>
          <w:sz w:val="32"/>
          <w:szCs w:val="32"/>
        </w:rPr>
        <w:t>万元，其中：办公费</w:t>
      </w:r>
      <w:r>
        <w:rPr>
          <w:rFonts w:hint="eastAsia" w:ascii="仿宋_GB2312" w:hAnsi="仿宋_GB2312" w:eastAsia="仿宋_GB2312" w:cs="仿宋_GB2312"/>
          <w:sz w:val="32"/>
          <w:szCs w:val="32"/>
          <w:lang w:val="en-US" w:eastAsia="zh-CN"/>
        </w:rPr>
        <w:t>11.39</w:t>
      </w:r>
      <w:r>
        <w:rPr>
          <w:rFonts w:hint="eastAsia" w:ascii="仿宋_GB2312" w:hAnsi="仿宋_GB2312" w:eastAsia="仿宋_GB2312" w:cs="仿宋_GB2312"/>
          <w:sz w:val="32"/>
          <w:szCs w:val="32"/>
        </w:rPr>
        <w:t>万元，取暖费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邮电费0.50万元，</w:t>
      </w:r>
      <w:r>
        <w:rPr>
          <w:rFonts w:hint="eastAsia" w:ascii="仿宋_GB2312" w:hAnsi="仿宋_GB2312" w:eastAsia="仿宋_GB2312" w:cs="仿宋_GB2312"/>
          <w:sz w:val="32"/>
          <w:szCs w:val="32"/>
        </w:rPr>
        <w:t>公务接待费0.5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万元，劳务费</w:t>
      </w:r>
      <w:r>
        <w:rPr>
          <w:rFonts w:hint="eastAsia" w:ascii="仿宋_GB2312" w:hAnsi="仿宋_GB2312" w:eastAsia="仿宋_GB2312" w:cs="仿宋_GB2312"/>
          <w:sz w:val="32"/>
          <w:szCs w:val="32"/>
          <w:lang w:val="en-US" w:eastAsia="zh-CN"/>
        </w:rPr>
        <w:t>38.52</w:t>
      </w:r>
      <w:r>
        <w:rPr>
          <w:rFonts w:hint="eastAsia" w:ascii="仿宋_GB2312" w:hAnsi="仿宋_GB2312" w:eastAsia="仿宋_GB2312" w:cs="仿宋_GB2312"/>
          <w:sz w:val="32"/>
          <w:szCs w:val="32"/>
        </w:rPr>
        <w:t>万元，公务用车运行维护费5万元，其他交通费用</w:t>
      </w:r>
      <w:r>
        <w:rPr>
          <w:rFonts w:hint="eastAsia" w:ascii="仿宋_GB2312" w:hAnsi="仿宋_GB2312" w:eastAsia="仿宋_GB2312" w:cs="仿宋_GB2312"/>
          <w:sz w:val="32"/>
          <w:szCs w:val="32"/>
          <w:lang w:val="en-US" w:eastAsia="zh-CN"/>
        </w:rPr>
        <w:t>7.96</w:t>
      </w:r>
      <w:r>
        <w:rPr>
          <w:rFonts w:hint="eastAsia" w:ascii="仿宋_GB2312" w:hAnsi="仿宋_GB2312" w:eastAsia="仿宋_GB2312" w:cs="仿宋_GB2312"/>
          <w:sz w:val="32"/>
          <w:szCs w:val="32"/>
        </w:rPr>
        <w:t>万元，工会经费</w:t>
      </w:r>
      <w:r>
        <w:rPr>
          <w:rFonts w:hint="eastAsia" w:ascii="仿宋_GB2312" w:hAnsi="仿宋_GB2312" w:eastAsia="仿宋_GB2312" w:cs="仿宋_GB2312"/>
          <w:sz w:val="32"/>
          <w:szCs w:val="32"/>
          <w:lang w:val="en-US" w:eastAsia="zh-CN"/>
        </w:rPr>
        <w:t>3.56</w:t>
      </w:r>
      <w:r>
        <w:rPr>
          <w:rFonts w:hint="eastAsia" w:ascii="仿宋_GB2312" w:hAnsi="仿宋_GB2312" w:eastAsia="仿宋_GB2312" w:cs="仿宋_GB2312"/>
          <w:sz w:val="32"/>
          <w:szCs w:val="32"/>
        </w:rPr>
        <w:t>万元，职工福利费4.</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w:t>
      </w:r>
    </w:p>
    <w:p>
      <w:pPr>
        <w:numPr>
          <w:ilvl w:val="0"/>
          <w:numId w:val="1"/>
        </w:numPr>
        <w:spacing w:before="10" w:after="10"/>
        <w:ind w:firstLine="640"/>
        <w:outlineLvl w:val="5"/>
        <w:rPr>
          <w:rFonts w:ascii="黑体" w:hAnsi="黑体" w:eastAsia="黑体" w:cs="黑体"/>
          <w:color w:val="000000"/>
          <w:sz w:val="32"/>
          <w:szCs w:val="32"/>
        </w:rPr>
      </w:pPr>
      <w:r>
        <w:rPr>
          <w:rFonts w:hint="eastAsia" w:ascii="黑体" w:hAnsi="黑体" w:eastAsia="黑体" w:cs="黑体"/>
          <w:color w:val="000000"/>
          <w:sz w:val="32"/>
          <w:szCs w:val="32"/>
        </w:rPr>
        <w:t>财政拨款“三公”经费预算情况及增减变化原因</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本单位本年度安排“三公经费”预算5.5万元</w:t>
      </w:r>
      <w:r>
        <w:rPr>
          <w:rFonts w:hint="eastAsia" w:ascii="仿宋_GB2312" w:hAnsi="仿宋_GB2312" w:eastAsia="仿宋_GB2312" w:cs="仿宋_GB2312"/>
          <w:sz w:val="32"/>
          <w:szCs w:val="32"/>
        </w:rPr>
        <w:t>，严格落实“三公经费”管理办法以及中央八项规定。其中，公务用车运行维护费5万元；公务接待费0.5万元（预计3批，20人次）；因公出国经费无；公务用车购置经费无。</w:t>
      </w:r>
    </w:p>
    <w:p>
      <w:pPr>
        <w:widowControl w:val="0"/>
        <w:spacing w:line="500" w:lineRule="exact"/>
        <w:jc w:val="center"/>
        <w:outlineLvl w:val="0"/>
        <w:rPr>
          <w:rFonts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“三公”经费预算情况表</w:t>
      </w:r>
    </w:p>
    <w:p>
      <w:pPr>
        <w:widowControl w:val="0"/>
        <w:spacing w:line="400" w:lineRule="exact"/>
        <w:jc w:val="right"/>
        <w:outlineLvl w:val="0"/>
        <w:rPr>
          <w:rFonts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lang w:eastAsia="zh-CN"/>
        </w:rPr>
        <w:t>单位：万元</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9"/>
        <w:gridCol w:w="1946"/>
        <w:gridCol w:w="2036"/>
        <w:gridCol w:w="1525"/>
        <w:gridCol w:w="5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项目名称</w:t>
            </w:r>
          </w:p>
        </w:tc>
        <w:tc>
          <w:tcPr>
            <w:tcW w:w="698"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20</w:t>
            </w:r>
            <w:r>
              <w:rPr>
                <w:rFonts w:hint="eastAsia" w:ascii="宋体" w:hAnsi="宋体" w:eastAsia="宋体" w:cs="宋体"/>
                <w:b/>
                <w:bCs/>
                <w:sz w:val="21"/>
                <w:szCs w:val="21"/>
                <w:lang w:eastAsia="zh-CN"/>
              </w:rPr>
              <w:t>21</w:t>
            </w:r>
            <w:r>
              <w:rPr>
                <w:rFonts w:hint="eastAsia" w:ascii="宋体" w:hAnsi="宋体" w:eastAsia="宋体" w:cs="宋体"/>
                <w:b/>
                <w:bCs/>
                <w:sz w:val="21"/>
                <w:szCs w:val="21"/>
              </w:rPr>
              <w:t>年度</w:t>
            </w:r>
          </w:p>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预算</w:t>
            </w:r>
          </w:p>
        </w:tc>
        <w:tc>
          <w:tcPr>
            <w:tcW w:w="730"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202</w:t>
            </w:r>
            <w:r>
              <w:rPr>
                <w:rFonts w:hint="eastAsia" w:ascii="宋体" w:hAnsi="宋体" w:eastAsia="宋体" w:cs="宋体"/>
                <w:b/>
                <w:bCs/>
                <w:sz w:val="21"/>
                <w:szCs w:val="21"/>
                <w:lang w:eastAsia="zh-CN"/>
              </w:rPr>
              <w:t>2</w:t>
            </w:r>
            <w:r>
              <w:rPr>
                <w:rFonts w:hint="eastAsia" w:ascii="宋体" w:hAnsi="宋体" w:eastAsia="宋体" w:cs="宋体"/>
                <w:b/>
                <w:bCs/>
                <w:sz w:val="21"/>
                <w:szCs w:val="21"/>
              </w:rPr>
              <w:t>年度</w:t>
            </w:r>
          </w:p>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预算</w:t>
            </w:r>
          </w:p>
        </w:tc>
        <w:tc>
          <w:tcPr>
            <w:tcW w:w="547"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增减金额</w:t>
            </w:r>
          </w:p>
        </w:tc>
        <w:tc>
          <w:tcPr>
            <w:tcW w:w="2022"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因公出国经费</w:t>
            </w:r>
          </w:p>
        </w:tc>
        <w:tc>
          <w:tcPr>
            <w:tcW w:w="698"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730"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547"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2022"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公务用车购置经费</w:t>
            </w:r>
          </w:p>
        </w:tc>
        <w:tc>
          <w:tcPr>
            <w:tcW w:w="698"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730"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547"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2022"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公务用车运行经费</w:t>
            </w:r>
          </w:p>
        </w:tc>
        <w:tc>
          <w:tcPr>
            <w:tcW w:w="698"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5</w:t>
            </w:r>
          </w:p>
        </w:tc>
        <w:tc>
          <w:tcPr>
            <w:tcW w:w="730"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5</w:t>
            </w:r>
          </w:p>
        </w:tc>
        <w:tc>
          <w:tcPr>
            <w:tcW w:w="547"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2022"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公务接待费支出</w:t>
            </w:r>
          </w:p>
        </w:tc>
        <w:tc>
          <w:tcPr>
            <w:tcW w:w="698"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0.5</w:t>
            </w:r>
          </w:p>
        </w:tc>
        <w:tc>
          <w:tcPr>
            <w:tcW w:w="730"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0.5</w:t>
            </w:r>
          </w:p>
        </w:tc>
        <w:tc>
          <w:tcPr>
            <w:tcW w:w="547"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w:t>
            </w:r>
          </w:p>
        </w:tc>
        <w:tc>
          <w:tcPr>
            <w:tcW w:w="2022"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合计</w:t>
            </w:r>
          </w:p>
        </w:tc>
        <w:tc>
          <w:tcPr>
            <w:tcW w:w="698"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5.5</w:t>
            </w:r>
          </w:p>
        </w:tc>
        <w:tc>
          <w:tcPr>
            <w:tcW w:w="730"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5.5</w:t>
            </w:r>
          </w:p>
        </w:tc>
        <w:tc>
          <w:tcPr>
            <w:tcW w:w="547"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2022"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无增减变化</w:t>
            </w:r>
          </w:p>
        </w:tc>
      </w:tr>
    </w:tbl>
    <w:p>
      <w:pPr>
        <w:jc w:val="center"/>
      </w:pPr>
      <w:r>
        <w:rPr>
          <w:rFonts w:ascii="方正仿宋_GBK" w:hAnsi="方正仿宋_GBK" w:eastAsia="方正仿宋_GBK" w:cs="方正仿宋_GBK"/>
          <w:color w:val="000000"/>
          <w:sz w:val="28"/>
        </w:rPr>
        <w:t xml:space="preserve"> </w:t>
      </w:r>
    </w:p>
    <w:p>
      <w:pPr>
        <w:spacing w:before="10" w:after="10"/>
        <w:ind w:firstLine="640"/>
        <w:outlineLvl w:val="5"/>
        <w:rPr>
          <w:rFonts w:hint="eastAsia" w:ascii="黑体" w:hAnsi="黑体" w:eastAsia="黑体" w:cs="黑体"/>
          <w:color w:val="000000"/>
          <w:sz w:val="32"/>
          <w:lang w:eastAsia="zh-CN"/>
        </w:rPr>
      </w:pPr>
      <w:bookmarkStart w:id="1" w:name="_Toc_4_4_0000000004"/>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lang w:eastAsia="zh-CN"/>
        </w:rPr>
        <w:t>五、预算绩效信息</w:t>
      </w:r>
    </w:p>
    <w:p>
      <w:pPr>
        <w:ind w:firstLine="560"/>
        <w:outlineLvl w:val="3"/>
      </w:pPr>
      <w:r>
        <w:rPr>
          <w:rFonts w:ascii="方正仿宋_GBK" w:hAnsi="方正仿宋_GBK" w:eastAsia="方正仿宋_GBK" w:cs="方正仿宋_GBK"/>
          <w:color w:val="000000"/>
          <w:sz w:val="28"/>
        </w:rPr>
        <w:t>1.财政事务工作经费（年初）绩效目标表</w:t>
      </w:r>
      <w:bookmarkEnd w:id="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13062324P007401100326</w:t>
            </w:r>
          </w:p>
        </w:tc>
        <w:tc>
          <w:tcPr>
            <w:tcW w:w="714" w:type="pct"/>
            <w:vAlign w:val="center"/>
          </w:tcPr>
          <w:p>
            <w:pPr>
              <w:pStyle w:val="14"/>
            </w:pPr>
            <w:r>
              <w:t>项目名称</w:t>
            </w:r>
          </w:p>
        </w:tc>
        <w:tc>
          <w:tcPr>
            <w:tcW w:w="2142" w:type="pct"/>
            <w:gridSpan w:val="3"/>
            <w:vAlign w:val="center"/>
          </w:tcPr>
          <w:p>
            <w:pPr>
              <w:pStyle w:val="16"/>
            </w:pPr>
            <w: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1.00</w:t>
            </w:r>
          </w:p>
        </w:tc>
        <w:tc>
          <w:tcPr>
            <w:tcW w:w="714" w:type="pct"/>
            <w:vAlign w:val="center"/>
          </w:tcPr>
          <w:p>
            <w:pPr>
              <w:pStyle w:val="14"/>
            </w:pPr>
            <w:r>
              <w:t>其中：财政    资金</w:t>
            </w:r>
          </w:p>
        </w:tc>
        <w:tc>
          <w:tcPr>
            <w:tcW w:w="714" w:type="pct"/>
            <w:vAlign w:val="center"/>
          </w:tcPr>
          <w:p>
            <w:pPr>
              <w:pStyle w:val="16"/>
            </w:pPr>
            <w:r>
              <w:t>1.00</w:t>
            </w:r>
          </w:p>
        </w:tc>
        <w:tc>
          <w:tcPr>
            <w:tcW w:w="714"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8"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50%</w:t>
            </w:r>
          </w:p>
        </w:tc>
        <w:tc>
          <w:tcPr>
            <w:tcW w:w="714" w:type="pct"/>
            <w:vAlign w:val="center"/>
          </w:tcPr>
          <w:p>
            <w:pPr>
              <w:pStyle w:val="17"/>
            </w:pPr>
            <w:r>
              <w:t>100%</w:t>
            </w:r>
          </w:p>
        </w:tc>
        <w:tc>
          <w:tcPr>
            <w:tcW w:w="1428"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1.配合乡镇完成各项上级财政拨款，落实到位，保障惠民政策落实到位，做好财政国库支付电子化工作。"</w:t>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工作开展完成率（%）</w:t>
            </w:r>
          </w:p>
        </w:tc>
        <w:tc>
          <w:tcPr>
            <w:tcW w:w="1428" w:type="pct"/>
            <w:vAlign w:val="center"/>
          </w:tcPr>
          <w:p>
            <w:pPr>
              <w:pStyle w:val="16"/>
            </w:pPr>
            <w:r>
              <w:t>工作实际开展占计划工作的比率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资金有效使用率(%)</w:t>
            </w:r>
          </w:p>
        </w:tc>
        <w:tc>
          <w:tcPr>
            <w:tcW w:w="1428" w:type="pct"/>
            <w:vAlign w:val="center"/>
          </w:tcPr>
          <w:p>
            <w:pPr>
              <w:pStyle w:val="16"/>
            </w:pPr>
            <w:r>
              <w:t>资金实际使用金额占拨付金额的比率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1万元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保障人员办公</w:t>
            </w:r>
          </w:p>
        </w:tc>
        <w:tc>
          <w:tcPr>
            <w:tcW w:w="1428" w:type="pct"/>
            <w:vAlign w:val="center"/>
          </w:tcPr>
          <w:p>
            <w:pPr>
              <w:pStyle w:val="16"/>
            </w:pPr>
            <w:r>
              <w:t>能够保障人员日常工作效率。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保障人员办公</w:t>
            </w:r>
          </w:p>
        </w:tc>
        <w:tc>
          <w:tcPr>
            <w:tcW w:w="1428" w:type="pct"/>
            <w:vAlign w:val="center"/>
          </w:tcPr>
          <w:p>
            <w:pPr>
              <w:pStyle w:val="16"/>
            </w:pPr>
            <w:r>
              <w:t>能够保障人员日常工作效率。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保障服务水平</w:t>
            </w:r>
          </w:p>
        </w:tc>
        <w:tc>
          <w:tcPr>
            <w:tcW w:w="1428" w:type="pct"/>
            <w:vAlign w:val="center"/>
          </w:tcPr>
          <w:p>
            <w:pPr>
              <w:pStyle w:val="16"/>
            </w:pPr>
            <w:r>
              <w:t>保障服务水平</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服务对象满意度</w:t>
            </w:r>
          </w:p>
        </w:tc>
        <w:tc>
          <w:tcPr>
            <w:tcW w:w="1428" w:type="pct"/>
            <w:vAlign w:val="center"/>
          </w:tcPr>
          <w:p>
            <w:pPr>
              <w:pStyle w:val="16"/>
            </w:pPr>
            <w:r>
              <w:t>服务对象满意度</w:t>
            </w:r>
          </w:p>
        </w:tc>
        <w:tc>
          <w:tcPr>
            <w:tcW w:w="714" w:type="pct"/>
            <w:vAlign w:val="center"/>
          </w:tcPr>
          <w:p>
            <w:pPr>
              <w:pStyle w:val="16"/>
            </w:pPr>
            <w:r>
              <w:t>≥90%</w:t>
            </w:r>
          </w:p>
        </w:tc>
        <w:tc>
          <w:tcPr>
            <w:tcW w:w="714"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5"/>
      <w:r>
        <w:rPr>
          <w:rFonts w:ascii="方正仿宋_GBK" w:hAnsi="方正仿宋_GBK" w:eastAsia="方正仿宋_GBK" w:cs="方正仿宋_GBK"/>
          <w:color w:val="000000"/>
          <w:sz w:val="28"/>
        </w:rPr>
        <w:t>2.纪检经费（年初）绩效目标表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13062324P00739810033T</w:t>
            </w:r>
          </w:p>
        </w:tc>
        <w:tc>
          <w:tcPr>
            <w:tcW w:w="714" w:type="pct"/>
            <w:vAlign w:val="center"/>
          </w:tcPr>
          <w:p>
            <w:pPr>
              <w:pStyle w:val="14"/>
            </w:pPr>
            <w:r>
              <w:t>项目名称</w:t>
            </w:r>
          </w:p>
        </w:tc>
        <w:tc>
          <w:tcPr>
            <w:tcW w:w="2142" w:type="pct"/>
            <w:gridSpan w:val="3"/>
            <w:vAlign w:val="center"/>
          </w:tcPr>
          <w:p>
            <w:pPr>
              <w:pStyle w:val="16"/>
            </w:pPr>
            <w: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1.00</w:t>
            </w:r>
          </w:p>
        </w:tc>
        <w:tc>
          <w:tcPr>
            <w:tcW w:w="714" w:type="pct"/>
            <w:vAlign w:val="center"/>
          </w:tcPr>
          <w:p>
            <w:pPr>
              <w:pStyle w:val="14"/>
            </w:pPr>
            <w:r>
              <w:t>其中：财政    资金</w:t>
            </w:r>
          </w:p>
        </w:tc>
        <w:tc>
          <w:tcPr>
            <w:tcW w:w="714" w:type="pct"/>
            <w:vAlign w:val="center"/>
          </w:tcPr>
          <w:p>
            <w:pPr>
              <w:pStyle w:val="16"/>
            </w:pPr>
            <w:r>
              <w:t>1.00</w:t>
            </w:r>
          </w:p>
        </w:tc>
        <w:tc>
          <w:tcPr>
            <w:tcW w:w="714"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8"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50%</w:t>
            </w:r>
          </w:p>
        </w:tc>
        <w:tc>
          <w:tcPr>
            <w:tcW w:w="714" w:type="pct"/>
            <w:vAlign w:val="center"/>
          </w:tcPr>
          <w:p>
            <w:pPr>
              <w:pStyle w:val="17"/>
            </w:pPr>
            <w:r>
              <w:t>100%</w:t>
            </w:r>
          </w:p>
        </w:tc>
        <w:tc>
          <w:tcPr>
            <w:tcW w:w="1428"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1.认真落实纪检单位各项任务，加强监督检查，促进党风廉政。发挥乡纪检监督职能，做到有案必查，有腐必惩，深化廉政教育学习。</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组织监督检查会议次数</w:t>
            </w:r>
          </w:p>
        </w:tc>
        <w:tc>
          <w:tcPr>
            <w:tcW w:w="1428" w:type="pct"/>
            <w:vAlign w:val="center"/>
          </w:tcPr>
          <w:p>
            <w:pPr>
              <w:pStyle w:val="16"/>
            </w:pPr>
            <w:r>
              <w:t>组织召开监督检查会议的次数</w:t>
            </w:r>
          </w:p>
        </w:tc>
        <w:tc>
          <w:tcPr>
            <w:tcW w:w="714" w:type="pct"/>
            <w:vAlign w:val="center"/>
          </w:tcPr>
          <w:p>
            <w:pPr>
              <w:pStyle w:val="16"/>
            </w:pPr>
            <w:r>
              <w:t>≥5次</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案件办结率</w:t>
            </w:r>
          </w:p>
        </w:tc>
        <w:tc>
          <w:tcPr>
            <w:tcW w:w="1428" w:type="pct"/>
            <w:vAlign w:val="center"/>
          </w:tcPr>
          <w:p>
            <w:pPr>
              <w:pStyle w:val="16"/>
            </w:pPr>
            <w:r>
              <w:t>办结案件数量占立案案件总数的比率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≤1万元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问题整改率</w:t>
            </w:r>
          </w:p>
        </w:tc>
        <w:tc>
          <w:tcPr>
            <w:tcW w:w="1428" w:type="pct"/>
            <w:vAlign w:val="center"/>
          </w:tcPr>
          <w:p>
            <w:pPr>
              <w:pStyle w:val="16"/>
            </w:pPr>
            <w:r>
              <w:t>已整改问题数量占发现问题总数的比率</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社会稳定水平</w:t>
            </w:r>
          </w:p>
        </w:tc>
        <w:tc>
          <w:tcPr>
            <w:tcW w:w="1428" w:type="pct"/>
            <w:vAlign w:val="center"/>
          </w:tcPr>
          <w:p>
            <w:pPr>
              <w:pStyle w:val="16"/>
            </w:pPr>
            <w:r>
              <w:t>通过实施纪检监督政策促进社会稳定水平逐步提高</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群众满意度</w:t>
            </w:r>
          </w:p>
        </w:tc>
        <w:tc>
          <w:tcPr>
            <w:tcW w:w="1428" w:type="pct"/>
            <w:vAlign w:val="center"/>
          </w:tcPr>
          <w:p>
            <w:pPr>
              <w:pStyle w:val="16"/>
            </w:pPr>
            <w:r>
              <w:t>群众对当年纪检监督工作的整体满意度</w:t>
            </w:r>
          </w:p>
        </w:tc>
        <w:tc>
          <w:tcPr>
            <w:tcW w:w="714" w:type="pct"/>
            <w:vAlign w:val="center"/>
          </w:tcPr>
          <w:p>
            <w:pPr>
              <w:pStyle w:val="16"/>
            </w:pPr>
            <w:r>
              <w:t>≥851</w:t>
            </w:r>
          </w:p>
        </w:tc>
        <w:tc>
          <w:tcPr>
            <w:tcW w:w="714"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6"/>
      <w:r>
        <w:rPr>
          <w:rFonts w:ascii="方正仿宋_GBK" w:hAnsi="方正仿宋_GBK" w:eastAsia="方正仿宋_GBK" w:cs="方正仿宋_GBK"/>
          <w:color w:val="000000"/>
          <w:sz w:val="28"/>
        </w:rPr>
        <w:t>3.农村文化建设资金（年初）绩效目标表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3"/>
        <w:gridCol w:w="1149"/>
        <w:gridCol w:w="2171"/>
        <w:gridCol w:w="2062"/>
        <w:gridCol w:w="2254"/>
        <w:gridCol w:w="1173"/>
        <w:gridCol w:w="1081"/>
        <w:gridCol w:w="22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0" w:type="auto"/>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3" w:type="dxa"/>
            <w:vAlign w:val="center"/>
          </w:tcPr>
          <w:p>
            <w:pPr>
              <w:pStyle w:val="14"/>
            </w:pPr>
            <w:r>
              <w:t>项目编码</w:t>
            </w:r>
          </w:p>
        </w:tc>
        <w:tc>
          <w:tcPr>
            <w:tcW w:w="3320" w:type="dxa"/>
            <w:gridSpan w:val="2"/>
            <w:vAlign w:val="center"/>
          </w:tcPr>
          <w:p>
            <w:pPr>
              <w:pStyle w:val="16"/>
            </w:pPr>
            <w:r>
              <w:t>13062324P00740210045J</w:t>
            </w:r>
          </w:p>
        </w:tc>
        <w:tc>
          <w:tcPr>
            <w:tcW w:w="2062" w:type="dxa"/>
            <w:vAlign w:val="center"/>
          </w:tcPr>
          <w:p>
            <w:pPr>
              <w:pStyle w:val="14"/>
            </w:pPr>
            <w:r>
              <w:t>项目名称</w:t>
            </w:r>
          </w:p>
        </w:tc>
        <w:tc>
          <w:tcPr>
            <w:tcW w:w="6763" w:type="dxa"/>
            <w:gridSpan w:val="4"/>
            <w:vAlign w:val="center"/>
          </w:tcPr>
          <w:p>
            <w:pPr>
              <w:pStyle w:val="16"/>
            </w:pPr>
            <w:r>
              <w:t>乡镇文化站免费开放资金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3" w:type="dxa"/>
            <w:vMerge w:val="restart"/>
            <w:vAlign w:val="center"/>
          </w:tcPr>
          <w:p>
            <w:pPr>
              <w:pStyle w:val="14"/>
            </w:pPr>
            <w:r>
              <w:t>预算规模及资金用途</w:t>
            </w:r>
          </w:p>
        </w:tc>
        <w:tc>
          <w:tcPr>
            <w:tcW w:w="1149"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预算数</w:t>
            </w:r>
          </w:p>
        </w:tc>
        <w:tc>
          <w:tcPr>
            <w:tcW w:w="2171"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1.75</w:t>
            </w:r>
          </w:p>
        </w:tc>
        <w:tc>
          <w:tcPr>
            <w:tcW w:w="2062"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其中：财政资金</w:t>
            </w:r>
          </w:p>
        </w:tc>
        <w:tc>
          <w:tcPr>
            <w:tcW w:w="2254"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1.75</w:t>
            </w:r>
          </w:p>
        </w:tc>
        <w:tc>
          <w:tcPr>
            <w:tcW w:w="2254" w:type="dxa"/>
            <w:gridSpan w:val="2"/>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其他资金</w:t>
            </w:r>
          </w:p>
        </w:tc>
        <w:tc>
          <w:tcPr>
            <w:tcW w:w="2255"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3" w:type="dxa"/>
            <w:vMerge w:val="continue"/>
          </w:tcPr>
          <w:p/>
        </w:tc>
        <w:tc>
          <w:tcPr>
            <w:tcW w:w="12145" w:type="dxa"/>
            <w:gridSpan w:val="7"/>
            <w:vAlign w:val="center"/>
          </w:tcPr>
          <w:p>
            <w:pPr>
              <w:pStyle w:val="16"/>
            </w:pPr>
            <w: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3" w:type="dxa"/>
            <w:vMerge w:val="restart"/>
            <w:vAlign w:val="center"/>
          </w:tcPr>
          <w:p>
            <w:pPr>
              <w:pStyle w:val="14"/>
            </w:pPr>
            <w:r>
              <w:t>资金支出计划（%）</w:t>
            </w:r>
          </w:p>
        </w:tc>
        <w:tc>
          <w:tcPr>
            <w:tcW w:w="3320" w:type="dxa"/>
            <w:gridSpan w:val="2"/>
            <w:vAlign w:val="center"/>
          </w:tcPr>
          <w:p>
            <w:pPr>
              <w:pStyle w:val="14"/>
            </w:pPr>
            <w:r>
              <w:t>3月底</w:t>
            </w:r>
          </w:p>
        </w:tc>
        <w:tc>
          <w:tcPr>
            <w:tcW w:w="2062" w:type="dxa"/>
            <w:vAlign w:val="center"/>
          </w:tcPr>
          <w:p>
            <w:pPr>
              <w:pStyle w:val="14"/>
            </w:pPr>
            <w:r>
              <w:t>6月底</w:t>
            </w:r>
          </w:p>
        </w:tc>
        <w:tc>
          <w:tcPr>
            <w:tcW w:w="3427" w:type="dxa"/>
            <w:gridSpan w:val="2"/>
            <w:vAlign w:val="center"/>
          </w:tcPr>
          <w:p>
            <w:pPr>
              <w:pStyle w:val="14"/>
            </w:pPr>
            <w:r>
              <w:t>10月底</w:t>
            </w:r>
          </w:p>
        </w:tc>
        <w:tc>
          <w:tcPr>
            <w:tcW w:w="3336"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3" w:type="dxa"/>
            <w:vMerge w:val="continue"/>
          </w:tcPr>
          <w:p/>
        </w:tc>
        <w:tc>
          <w:tcPr>
            <w:tcW w:w="3320" w:type="dxa"/>
            <w:gridSpan w:val="2"/>
            <w:vAlign w:val="center"/>
          </w:tcPr>
          <w:p>
            <w:pPr>
              <w:pStyle w:val="17"/>
            </w:pPr>
            <w:r>
              <w:t>50%</w:t>
            </w:r>
          </w:p>
        </w:tc>
        <w:tc>
          <w:tcPr>
            <w:tcW w:w="2062" w:type="dxa"/>
            <w:vAlign w:val="center"/>
          </w:tcPr>
          <w:p>
            <w:pPr>
              <w:pStyle w:val="17"/>
            </w:pPr>
            <w:r>
              <w:t>50%</w:t>
            </w:r>
          </w:p>
        </w:tc>
        <w:tc>
          <w:tcPr>
            <w:tcW w:w="3427" w:type="dxa"/>
            <w:gridSpan w:val="2"/>
            <w:vAlign w:val="center"/>
          </w:tcPr>
          <w:p>
            <w:pPr>
              <w:pStyle w:val="17"/>
            </w:pPr>
            <w:r>
              <w:t>100%</w:t>
            </w:r>
          </w:p>
        </w:tc>
        <w:tc>
          <w:tcPr>
            <w:tcW w:w="3336"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3" w:type="dxa"/>
            <w:vAlign w:val="center"/>
          </w:tcPr>
          <w:p>
            <w:pPr>
              <w:pStyle w:val="14"/>
            </w:pPr>
            <w:r>
              <w:t>绩效目标</w:t>
            </w:r>
          </w:p>
        </w:tc>
        <w:tc>
          <w:tcPr>
            <w:tcW w:w="12145" w:type="dxa"/>
            <w:gridSpan w:val="7"/>
            <w:vAlign w:val="center"/>
          </w:tcPr>
          <w:p>
            <w:pPr>
              <w:pStyle w:val="16"/>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3981"/>
        <w:gridCol w:w="1990"/>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4"/>
            </w:pPr>
            <w:r>
              <w:t>一级指标</w:t>
            </w:r>
          </w:p>
        </w:tc>
        <w:tc>
          <w:tcPr>
            <w:tcW w:w="1990" w:type="dxa"/>
            <w:vAlign w:val="center"/>
          </w:tcPr>
          <w:p>
            <w:pPr>
              <w:pStyle w:val="14"/>
            </w:pPr>
            <w:r>
              <w:t>二级指标</w:t>
            </w:r>
          </w:p>
        </w:tc>
        <w:tc>
          <w:tcPr>
            <w:tcW w:w="1990" w:type="dxa"/>
            <w:vAlign w:val="center"/>
          </w:tcPr>
          <w:p>
            <w:pPr>
              <w:pStyle w:val="14"/>
            </w:pPr>
            <w:r>
              <w:t>三级指标</w:t>
            </w:r>
          </w:p>
        </w:tc>
        <w:tc>
          <w:tcPr>
            <w:tcW w:w="3981" w:type="dxa"/>
            <w:vAlign w:val="center"/>
          </w:tcPr>
          <w:p>
            <w:pPr>
              <w:pStyle w:val="14"/>
            </w:pPr>
            <w:r>
              <w:t>绩效指标描述</w:t>
            </w:r>
          </w:p>
        </w:tc>
        <w:tc>
          <w:tcPr>
            <w:tcW w:w="1990" w:type="dxa"/>
            <w:vAlign w:val="center"/>
          </w:tcPr>
          <w:p>
            <w:pPr>
              <w:pStyle w:val="14"/>
            </w:pPr>
            <w:r>
              <w:t>指标值</w:t>
            </w:r>
          </w:p>
        </w:tc>
        <w:tc>
          <w:tcPr>
            <w:tcW w:w="1991"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7"/>
            </w:pPr>
            <w:r>
              <w:t>产出指标</w:t>
            </w:r>
          </w:p>
        </w:tc>
        <w:tc>
          <w:tcPr>
            <w:tcW w:w="1990" w:type="dxa"/>
            <w:vAlign w:val="center"/>
          </w:tcPr>
          <w:p>
            <w:pPr>
              <w:pStyle w:val="16"/>
              <w:ind w:firstLine="0" w:firstLineChars="0"/>
            </w:pPr>
            <w:r>
              <w:t>数量指标</w:t>
            </w:r>
          </w:p>
        </w:tc>
        <w:tc>
          <w:tcPr>
            <w:tcW w:w="1990" w:type="dxa"/>
            <w:vAlign w:val="center"/>
          </w:tcPr>
          <w:p>
            <w:pPr>
              <w:pStyle w:val="16"/>
              <w:ind w:firstLine="0" w:firstLineChars="0"/>
            </w:pPr>
            <w:r>
              <w:t>公共文化服务活动数量</w:t>
            </w:r>
          </w:p>
        </w:tc>
        <w:tc>
          <w:tcPr>
            <w:tcW w:w="3981" w:type="dxa"/>
            <w:vAlign w:val="center"/>
          </w:tcPr>
          <w:p>
            <w:pPr>
              <w:pStyle w:val="16"/>
              <w:ind w:firstLine="0" w:firstLineChars="0"/>
            </w:pPr>
            <w:r>
              <w:t>各类公共文化服务活动组织开展的数量</w:t>
            </w:r>
          </w:p>
        </w:tc>
        <w:tc>
          <w:tcPr>
            <w:tcW w:w="1990" w:type="dxa"/>
            <w:vAlign w:val="center"/>
          </w:tcPr>
          <w:p>
            <w:pPr>
              <w:pStyle w:val="16"/>
              <w:ind w:firstLine="0" w:firstLineChars="0"/>
            </w:pPr>
            <w:r>
              <w:t>≥10次</w:t>
            </w:r>
          </w:p>
        </w:tc>
        <w:tc>
          <w:tcPr>
            <w:tcW w:w="1991" w:type="dxa"/>
            <w:vAlign w:val="center"/>
          </w:tcPr>
          <w:p>
            <w:pPr>
              <w:pStyle w:val="16"/>
              <w:ind w:firstLine="0" w:firstLineChars="0"/>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tc>
        <w:tc>
          <w:tcPr>
            <w:tcW w:w="1990" w:type="dxa"/>
            <w:vAlign w:val="center"/>
          </w:tcPr>
          <w:p>
            <w:pPr>
              <w:pStyle w:val="16"/>
              <w:ind w:firstLine="0" w:firstLineChars="0"/>
            </w:pPr>
            <w:r>
              <w:t>质量指标</w:t>
            </w:r>
          </w:p>
        </w:tc>
        <w:tc>
          <w:tcPr>
            <w:tcW w:w="1990" w:type="dxa"/>
            <w:vAlign w:val="center"/>
          </w:tcPr>
          <w:p>
            <w:pPr>
              <w:pStyle w:val="16"/>
              <w:ind w:firstLine="0" w:firstLineChars="0"/>
            </w:pPr>
            <w:r>
              <w:t>文化设施达标率</w:t>
            </w:r>
          </w:p>
        </w:tc>
        <w:tc>
          <w:tcPr>
            <w:tcW w:w="3981" w:type="dxa"/>
            <w:vAlign w:val="center"/>
          </w:tcPr>
          <w:p>
            <w:pPr>
              <w:pStyle w:val="16"/>
              <w:ind w:firstLine="0" w:firstLineChars="0"/>
            </w:pPr>
            <w:r>
              <w:t>省内实际文化设施达标数量占文化设施总数的比率</w:t>
            </w:r>
          </w:p>
        </w:tc>
        <w:tc>
          <w:tcPr>
            <w:tcW w:w="1990" w:type="dxa"/>
            <w:vAlign w:val="center"/>
          </w:tcPr>
          <w:p>
            <w:pPr>
              <w:pStyle w:val="16"/>
              <w:ind w:firstLine="0" w:firstLineChars="0"/>
            </w:pPr>
            <w:r>
              <w:t>≥90%</w:t>
            </w:r>
          </w:p>
        </w:tc>
        <w:tc>
          <w:tcPr>
            <w:tcW w:w="1991" w:type="dxa"/>
            <w:vAlign w:val="center"/>
          </w:tcPr>
          <w:p>
            <w:pPr>
              <w:pStyle w:val="16"/>
              <w:ind w:firstLine="0" w:firstLineChars="0"/>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tc>
        <w:tc>
          <w:tcPr>
            <w:tcW w:w="1990" w:type="dxa"/>
            <w:vAlign w:val="center"/>
          </w:tcPr>
          <w:p>
            <w:pPr>
              <w:pStyle w:val="16"/>
              <w:ind w:firstLine="0" w:firstLineChars="0"/>
            </w:pPr>
            <w:r>
              <w:t>时效指标</w:t>
            </w:r>
          </w:p>
        </w:tc>
        <w:tc>
          <w:tcPr>
            <w:tcW w:w="1990" w:type="dxa"/>
            <w:vAlign w:val="center"/>
          </w:tcPr>
          <w:p>
            <w:pPr>
              <w:pStyle w:val="16"/>
              <w:ind w:firstLine="0" w:firstLineChars="0"/>
            </w:pPr>
            <w:r>
              <w:t>年度项目完成情况</w:t>
            </w:r>
          </w:p>
        </w:tc>
        <w:tc>
          <w:tcPr>
            <w:tcW w:w="3981" w:type="dxa"/>
            <w:vAlign w:val="center"/>
          </w:tcPr>
          <w:p>
            <w:pPr>
              <w:pStyle w:val="16"/>
              <w:ind w:firstLine="0" w:firstLineChars="0"/>
            </w:pPr>
            <w:r>
              <w:t>年度项目按规定时间点完成</w:t>
            </w:r>
          </w:p>
        </w:tc>
        <w:tc>
          <w:tcPr>
            <w:tcW w:w="1990" w:type="dxa"/>
            <w:vAlign w:val="center"/>
          </w:tcPr>
          <w:p>
            <w:pPr>
              <w:pStyle w:val="16"/>
              <w:ind w:firstLine="0" w:firstLineChars="0"/>
            </w:pPr>
            <w:r>
              <w:t>≥90%</w:t>
            </w:r>
          </w:p>
        </w:tc>
        <w:tc>
          <w:tcPr>
            <w:tcW w:w="1991" w:type="dxa"/>
            <w:vAlign w:val="center"/>
          </w:tcPr>
          <w:p>
            <w:pPr>
              <w:pStyle w:val="16"/>
              <w:ind w:firstLine="0" w:firstLineChars="0"/>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tc>
        <w:tc>
          <w:tcPr>
            <w:tcW w:w="1990" w:type="dxa"/>
            <w:vAlign w:val="center"/>
          </w:tcPr>
          <w:p>
            <w:pPr>
              <w:pStyle w:val="16"/>
              <w:ind w:firstLine="0" w:firstLineChars="0"/>
            </w:pPr>
            <w:r>
              <w:t>成本指标</w:t>
            </w:r>
          </w:p>
        </w:tc>
        <w:tc>
          <w:tcPr>
            <w:tcW w:w="1990" w:type="dxa"/>
            <w:vAlign w:val="center"/>
          </w:tcPr>
          <w:p>
            <w:pPr>
              <w:pStyle w:val="16"/>
              <w:ind w:firstLine="0" w:firstLineChars="0"/>
            </w:pPr>
            <w:r>
              <w:t>经费控制数</w:t>
            </w:r>
          </w:p>
        </w:tc>
        <w:tc>
          <w:tcPr>
            <w:tcW w:w="3981" w:type="dxa"/>
            <w:vAlign w:val="center"/>
          </w:tcPr>
          <w:p>
            <w:pPr>
              <w:pStyle w:val="16"/>
              <w:ind w:firstLine="0" w:firstLineChars="0"/>
            </w:pPr>
            <w:r>
              <w:t>经费控制数</w:t>
            </w:r>
          </w:p>
        </w:tc>
        <w:tc>
          <w:tcPr>
            <w:tcW w:w="1990" w:type="dxa"/>
            <w:vAlign w:val="center"/>
          </w:tcPr>
          <w:p>
            <w:pPr>
              <w:pStyle w:val="16"/>
              <w:ind w:firstLine="0" w:firstLineChars="0"/>
            </w:pPr>
            <w:r>
              <w:t>1.75万元</w:t>
            </w:r>
          </w:p>
        </w:tc>
        <w:tc>
          <w:tcPr>
            <w:tcW w:w="1991" w:type="dxa"/>
            <w:vAlign w:val="center"/>
          </w:tcPr>
          <w:p>
            <w:pPr>
              <w:pStyle w:val="16"/>
              <w:ind w:firstLine="0" w:firstLineChars="0"/>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7"/>
            </w:pPr>
            <w:r>
              <w:t>效益指标</w:t>
            </w:r>
          </w:p>
        </w:tc>
        <w:tc>
          <w:tcPr>
            <w:tcW w:w="1990" w:type="dxa"/>
            <w:vAlign w:val="center"/>
          </w:tcPr>
          <w:p>
            <w:pPr>
              <w:pStyle w:val="16"/>
              <w:ind w:firstLine="0" w:firstLineChars="0"/>
            </w:pPr>
            <w:r>
              <w:t>社会效益指标</w:t>
            </w:r>
          </w:p>
        </w:tc>
        <w:tc>
          <w:tcPr>
            <w:tcW w:w="1990" w:type="dxa"/>
            <w:vAlign w:val="center"/>
          </w:tcPr>
          <w:p>
            <w:pPr>
              <w:pStyle w:val="16"/>
              <w:ind w:firstLine="0" w:firstLineChars="0"/>
            </w:pPr>
            <w:r>
              <w:t>社会稳定水平</w:t>
            </w:r>
          </w:p>
        </w:tc>
        <w:tc>
          <w:tcPr>
            <w:tcW w:w="3981" w:type="dxa"/>
            <w:vAlign w:val="center"/>
          </w:tcPr>
          <w:p>
            <w:pPr>
              <w:pStyle w:val="16"/>
              <w:ind w:firstLine="0" w:firstLineChars="0"/>
            </w:pPr>
            <w:r>
              <w:t>通过维稳工作开展，促进社会稳定水平逐步提高</w:t>
            </w:r>
          </w:p>
        </w:tc>
        <w:tc>
          <w:tcPr>
            <w:tcW w:w="1990" w:type="dxa"/>
            <w:vAlign w:val="center"/>
          </w:tcPr>
          <w:p>
            <w:pPr>
              <w:pStyle w:val="16"/>
              <w:ind w:firstLine="0" w:firstLineChars="0"/>
            </w:pPr>
            <w:r>
              <w:t>≥85%</w:t>
            </w:r>
          </w:p>
        </w:tc>
        <w:tc>
          <w:tcPr>
            <w:tcW w:w="1991" w:type="dxa"/>
            <w:vAlign w:val="center"/>
          </w:tcPr>
          <w:p>
            <w:pPr>
              <w:pStyle w:val="16"/>
              <w:ind w:firstLine="0" w:firstLineChars="0"/>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tc>
        <w:tc>
          <w:tcPr>
            <w:tcW w:w="1990" w:type="dxa"/>
            <w:vAlign w:val="center"/>
          </w:tcPr>
          <w:p>
            <w:pPr>
              <w:pStyle w:val="16"/>
              <w:ind w:firstLine="0" w:firstLineChars="0"/>
            </w:pPr>
            <w:r>
              <w:t>服务对象满意度指标</w:t>
            </w:r>
          </w:p>
        </w:tc>
        <w:tc>
          <w:tcPr>
            <w:tcW w:w="1990" w:type="dxa"/>
            <w:vAlign w:val="center"/>
          </w:tcPr>
          <w:p>
            <w:pPr>
              <w:pStyle w:val="16"/>
              <w:ind w:firstLine="0" w:firstLineChars="0"/>
            </w:pPr>
            <w:r>
              <w:t>群众满意度</w:t>
            </w:r>
          </w:p>
        </w:tc>
        <w:tc>
          <w:tcPr>
            <w:tcW w:w="3981" w:type="dxa"/>
            <w:vAlign w:val="center"/>
          </w:tcPr>
          <w:p>
            <w:pPr>
              <w:pStyle w:val="16"/>
              <w:ind w:firstLine="0" w:firstLineChars="0"/>
            </w:pPr>
            <w:r>
              <w:t>群众满意度</w:t>
            </w:r>
          </w:p>
        </w:tc>
        <w:tc>
          <w:tcPr>
            <w:tcW w:w="1990" w:type="dxa"/>
            <w:vAlign w:val="center"/>
          </w:tcPr>
          <w:p>
            <w:pPr>
              <w:pStyle w:val="16"/>
              <w:ind w:firstLine="0" w:firstLineChars="0"/>
            </w:pPr>
            <w:r>
              <w:t>≥90百分比</w:t>
            </w:r>
          </w:p>
        </w:tc>
        <w:tc>
          <w:tcPr>
            <w:tcW w:w="1991" w:type="dxa"/>
            <w:vAlign w:val="center"/>
          </w:tcPr>
          <w:p>
            <w:pPr>
              <w:pStyle w:val="16"/>
              <w:ind w:firstLine="0" w:firstLineChars="0"/>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7"/>
            </w:pPr>
            <w:r>
              <w:t>满意度指标</w:t>
            </w:r>
          </w:p>
        </w:tc>
        <w:tc>
          <w:tcPr>
            <w:tcW w:w="1990" w:type="dxa"/>
            <w:vAlign w:val="center"/>
          </w:tcPr>
          <w:p>
            <w:pPr>
              <w:pStyle w:val="16"/>
              <w:ind w:firstLine="0" w:firstLineChars="0"/>
            </w:pPr>
            <w:r>
              <w:t>数量指标</w:t>
            </w:r>
          </w:p>
        </w:tc>
        <w:tc>
          <w:tcPr>
            <w:tcW w:w="1990" w:type="dxa"/>
            <w:vAlign w:val="center"/>
          </w:tcPr>
          <w:p>
            <w:pPr>
              <w:pStyle w:val="16"/>
              <w:ind w:firstLine="0" w:firstLineChars="0"/>
            </w:pPr>
            <w:r>
              <w:t>公共文化服务活动数量</w:t>
            </w:r>
          </w:p>
        </w:tc>
        <w:tc>
          <w:tcPr>
            <w:tcW w:w="3981" w:type="dxa"/>
            <w:vAlign w:val="center"/>
          </w:tcPr>
          <w:p>
            <w:pPr>
              <w:pStyle w:val="16"/>
              <w:ind w:firstLine="0" w:firstLineChars="0"/>
            </w:pPr>
            <w:r>
              <w:t>各类公共文化服务活动组织开展的数量</w:t>
            </w:r>
          </w:p>
        </w:tc>
        <w:tc>
          <w:tcPr>
            <w:tcW w:w="1990" w:type="dxa"/>
            <w:vAlign w:val="center"/>
          </w:tcPr>
          <w:p>
            <w:pPr>
              <w:pStyle w:val="16"/>
              <w:ind w:firstLine="0" w:firstLineChars="0"/>
            </w:pPr>
            <w:r>
              <w:t>≥10次</w:t>
            </w:r>
          </w:p>
        </w:tc>
        <w:tc>
          <w:tcPr>
            <w:tcW w:w="1991" w:type="dxa"/>
            <w:vAlign w:val="center"/>
          </w:tcPr>
          <w:p>
            <w:pPr>
              <w:pStyle w:val="16"/>
              <w:ind w:firstLine="0" w:firstLineChars="0"/>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7"/>
      <w:r>
        <w:rPr>
          <w:rFonts w:ascii="方正仿宋_GBK" w:hAnsi="方正仿宋_GBK" w:eastAsia="方正仿宋_GBK" w:cs="方正仿宋_GBK"/>
          <w:color w:val="000000"/>
          <w:sz w:val="28"/>
        </w:rPr>
        <w:t>4.人大主席团活动经费（年初）绩效目标表</w:t>
      </w:r>
      <w:bookmarkEnd w:id="4"/>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1990"/>
        <w:gridCol w:w="1990"/>
        <w:gridCol w:w="1993"/>
        <w:gridCol w:w="19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rPr>
                <w:rFonts w:ascii="方正书宋_GBK" w:hAnsi="方正书宋_GBK" w:eastAsia="方正书宋_GBK" w:cs="方正书宋_GBK"/>
                <w:sz w:val="21"/>
                <w:szCs w:val="24"/>
                <w:lang w:val="en-US" w:eastAsia="uk-UA" w:bidi="ar-SA"/>
              </w:rPr>
            </w:pPr>
            <w:r>
              <w:t>13062324P00740010031W</w:t>
            </w:r>
          </w:p>
        </w:tc>
        <w:tc>
          <w:tcPr>
            <w:tcW w:w="714" w:type="pct"/>
            <w:vAlign w:val="center"/>
          </w:tcPr>
          <w:p>
            <w:pPr>
              <w:pStyle w:val="14"/>
            </w:pPr>
            <w:r>
              <w:t>项目名称</w:t>
            </w:r>
          </w:p>
        </w:tc>
        <w:tc>
          <w:tcPr>
            <w:tcW w:w="2143" w:type="pct"/>
            <w:gridSpan w:val="3"/>
            <w:vAlign w:val="center"/>
          </w:tcPr>
          <w:p>
            <w:pPr>
              <w:pStyle w:val="16"/>
            </w:pPr>
            <w: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1.00</w:t>
            </w:r>
          </w:p>
        </w:tc>
        <w:tc>
          <w:tcPr>
            <w:tcW w:w="714" w:type="pct"/>
            <w:vAlign w:val="center"/>
          </w:tcPr>
          <w:p>
            <w:pPr>
              <w:pStyle w:val="14"/>
            </w:pPr>
            <w:r>
              <w:t>其中：财政资金</w:t>
            </w:r>
          </w:p>
        </w:tc>
        <w:tc>
          <w:tcPr>
            <w:tcW w:w="714" w:type="pct"/>
            <w:vAlign w:val="center"/>
          </w:tcPr>
          <w:p>
            <w:pPr>
              <w:pStyle w:val="16"/>
            </w:pPr>
            <w:r>
              <w:t>1.00</w:t>
            </w:r>
          </w:p>
        </w:tc>
        <w:tc>
          <w:tcPr>
            <w:tcW w:w="715"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9"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50%</w:t>
            </w:r>
          </w:p>
        </w:tc>
        <w:tc>
          <w:tcPr>
            <w:tcW w:w="714" w:type="pct"/>
            <w:vAlign w:val="center"/>
          </w:tcPr>
          <w:p>
            <w:pPr>
              <w:pStyle w:val="17"/>
            </w:pPr>
            <w:r>
              <w:t>100%</w:t>
            </w:r>
          </w:p>
        </w:tc>
        <w:tc>
          <w:tcPr>
            <w:tcW w:w="1429"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1.为了更好落实中央2015（18）号文件精神和省委市委落实中央18号文件的意见，切实加强基层人大建设，保障乡人大主席团的正常运转。</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人大主席团活动开展情况</w:t>
            </w:r>
          </w:p>
        </w:tc>
        <w:tc>
          <w:tcPr>
            <w:tcW w:w="1428" w:type="pct"/>
            <w:vAlign w:val="center"/>
          </w:tcPr>
          <w:p>
            <w:pPr>
              <w:pStyle w:val="16"/>
            </w:pPr>
            <w:r>
              <w:t>已开展活动占应开展活动的比率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人大主席团活动开展效果</w:t>
            </w:r>
          </w:p>
        </w:tc>
        <w:tc>
          <w:tcPr>
            <w:tcW w:w="1428" w:type="pct"/>
            <w:vAlign w:val="center"/>
          </w:tcPr>
          <w:p>
            <w:pPr>
              <w:pStyle w:val="16"/>
            </w:pPr>
            <w:r>
              <w:t>效果良好的活动占已开展活动的比率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≥1万元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参与政府决策活动次数</w:t>
            </w:r>
          </w:p>
        </w:tc>
        <w:tc>
          <w:tcPr>
            <w:tcW w:w="1428" w:type="pct"/>
            <w:vAlign w:val="center"/>
          </w:tcPr>
          <w:p>
            <w:pPr>
              <w:pStyle w:val="16"/>
            </w:pPr>
            <w:r>
              <w:t>参与决策咨询活动次数</w:t>
            </w:r>
          </w:p>
        </w:tc>
        <w:tc>
          <w:tcPr>
            <w:tcW w:w="714" w:type="pct"/>
            <w:vAlign w:val="center"/>
          </w:tcPr>
          <w:p>
            <w:pPr>
              <w:pStyle w:val="16"/>
            </w:pPr>
            <w:r>
              <w:t>≥5次</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社会影响力</w:t>
            </w:r>
          </w:p>
        </w:tc>
        <w:tc>
          <w:tcPr>
            <w:tcW w:w="1428" w:type="pct"/>
            <w:vAlign w:val="center"/>
          </w:tcPr>
          <w:p>
            <w:pPr>
              <w:pStyle w:val="16"/>
            </w:pPr>
            <w:r>
              <w:t>在本地区产生的重要影响，得到广大受众的充分认可。</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群众满意度</w:t>
            </w:r>
          </w:p>
        </w:tc>
        <w:tc>
          <w:tcPr>
            <w:tcW w:w="1428" w:type="pct"/>
            <w:vAlign w:val="center"/>
          </w:tcPr>
          <w:p>
            <w:pPr>
              <w:pStyle w:val="16"/>
            </w:pPr>
            <w:r>
              <w:t>群众对当年人大主席团工作的整体满意度</w:t>
            </w:r>
          </w:p>
        </w:tc>
        <w:tc>
          <w:tcPr>
            <w:tcW w:w="714" w:type="pct"/>
            <w:vAlign w:val="center"/>
          </w:tcPr>
          <w:p>
            <w:pPr>
              <w:pStyle w:val="16"/>
            </w:pPr>
            <w:r>
              <w:t>≥85%</w:t>
            </w:r>
          </w:p>
        </w:tc>
        <w:tc>
          <w:tcPr>
            <w:tcW w:w="714"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8"/>
      <w:r>
        <w:rPr>
          <w:rFonts w:ascii="方正仿宋_GBK" w:hAnsi="方正仿宋_GBK" w:eastAsia="方正仿宋_GBK" w:cs="方正仿宋_GBK"/>
          <w:color w:val="000000"/>
          <w:sz w:val="28"/>
        </w:rPr>
        <w:t>5.食安经费（年初）绩效目标表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13062324P007397100335</w:t>
            </w:r>
          </w:p>
        </w:tc>
        <w:tc>
          <w:tcPr>
            <w:tcW w:w="714" w:type="pct"/>
            <w:vAlign w:val="center"/>
          </w:tcPr>
          <w:p>
            <w:pPr>
              <w:pStyle w:val="14"/>
            </w:pPr>
            <w:r>
              <w:t>项目名称</w:t>
            </w:r>
          </w:p>
        </w:tc>
        <w:tc>
          <w:tcPr>
            <w:tcW w:w="2142" w:type="pct"/>
            <w:gridSpan w:val="3"/>
            <w:vAlign w:val="center"/>
          </w:tcPr>
          <w:p>
            <w:pPr>
              <w:pStyle w:val="16"/>
            </w:pPr>
            <w: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0.68</w:t>
            </w:r>
          </w:p>
        </w:tc>
        <w:tc>
          <w:tcPr>
            <w:tcW w:w="714" w:type="pct"/>
            <w:vAlign w:val="center"/>
          </w:tcPr>
          <w:p>
            <w:pPr>
              <w:pStyle w:val="14"/>
            </w:pPr>
            <w:r>
              <w:t>其中：财政    资金</w:t>
            </w:r>
          </w:p>
        </w:tc>
        <w:tc>
          <w:tcPr>
            <w:tcW w:w="714" w:type="pct"/>
            <w:vAlign w:val="center"/>
          </w:tcPr>
          <w:p>
            <w:pPr>
              <w:pStyle w:val="16"/>
            </w:pPr>
            <w:r>
              <w:t>0.68</w:t>
            </w:r>
          </w:p>
        </w:tc>
        <w:tc>
          <w:tcPr>
            <w:tcW w:w="714"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8"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100%</w:t>
            </w:r>
          </w:p>
        </w:tc>
        <w:tc>
          <w:tcPr>
            <w:tcW w:w="714" w:type="pct"/>
            <w:vAlign w:val="center"/>
          </w:tcPr>
          <w:p>
            <w:pPr>
              <w:pStyle w:val="17"/>
            </w:pPr>
            <w:r>
              <w:t>100%</w:t>
            </w:r>
          </w:p>
        </w:tc>
        <w:tc>
          <w:tcPr>
            <w:tcW w:w="714" w:type="pct"/>
            <w:vAlign w:val="center"/>
          </w:tcPr>
          <w:p>
            <w:pPr>
              <w:pStyle w:val="17"/>
            </w:pPr>
            <w:r>
              <w:t>100%</w:t>
            </w:r>
          </w:p>
        </w:tc>
        <w:tc>
          <w:tcPr>
            <w:tcW w:w="1428"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1.组织开展食品安全调查及专项统计调查工作，了解基层情况和动态提供统计信息和咨询建议，确保食品安全调查和专项统计调查工作顺利完成。</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组织宣传活动次数（次）</w:t>
            </w:r>
          </w:p>
        </w:tc>
        <w:tc>
          <w:tcPr>
            <w:tcW w:w="1428" w:type="pct"/>
            <w:vAlign w:val="center"/>
          </w:tcPr>
          <w:p>
            <w:pPr>
              <w:pStyle w:val="16"/>
            </w:pPr>
            <w:r>
              <w:t>组织宣传活动次数</w:t>
            </w:r>
          </w:p>
        </w:tc>
        <w:tc>
          <w:tcPr>
            <w:tcW w:w="714" w:type="pct"/>
            <w:vAlign w:val="center"/>
          </w:tcPr>
          <w:p>
            <w:pPr>
              <w:pStyle w:val="16"/>
            </w:pPr>
            <w:r>
              <w:t>≥5次</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抽查覆盖率</w:t>
            </w:r>
          </w:p>
        </w:tc>
        <w:tc>
          <w:tcPr>
            <w:tcW w:w="1428" w:type="pct"/>
            <w:vAlign w:val="center"/>
          </w:tcPr>
          <w:p>
            <w:pPr>
              <w:pStyle w:val="16"/>
            </w:pPr>
            <w:r>
              <w:t>抽查对象的数量占全部对象的比率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≤0.68万元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对食品安全的监管作用</w:t>
            </w:r>
          </w:p>
        </w:tc>
        <w:tc>
          <w:tcPr>
            <w:tcW w:w="1428" w:type="pct"/>
            <w:vAlign w:val="center"/>
          </w:tcPr>
          <w:p>
            <w:pPr>
              <w:pStyle w:val="16"/>
            </w:pPr>
            <w:r>
              <w:t>通过对食品安全的监管，确保本地区食品安全</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社会影响力</w:t>
            </w:r>
          </w:p>
        </w:tc>
        <w:tc>
          <w:tcPr>
            <w:tcW w:w="1428" w:type="pct"/>
            <w:vAlign w:val="center"/>
          </w:tcPr>
          <w:p>
            <w:pPr>
              <w:pStyle w:val="16"/>
            </w:pPr>
            <w:r>
              <w:t>在本地区产生的重要影响，得到广大受众的充分认可。</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服务对象满意度</w:t>
            </w:r>
          </w:p>
        </w:tc>
        <w:tc>
          <w:tcPr>
            <w:tcW w:w="1428" w:type="pct"/>
            <w:vAlign w:val="center"/>
          </w:tcPr>
          <w:p>
            <w:pPr>
              <w:pStyle w:val="16"/>
            </w:pPr>
            <w:r>
              <w:t>接受食品安全监管的人群对食品安全监管工作的满意程度</w:t>
            </w:r>
          </w:p>
        </w:tc>
        <w:tc>
          <w:tcPr>
            <w:tcW w:w="714" w:type="pct"/>
            <w:vAlign w:val="center"/>
          </w:tcPr>
          <w:p>
            <w:pPr>
              <w:pStyle w:val="16"/>
            </w:pPr>
            <w:r>
              <w:t>≥90%</w:t>
            </w:r>
          </w:p>
        </w:tc>
        <w:tc>
          <w:tcPr>
            <w:tcW w:w="714"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6.团委经费（年初）绩效目标表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13062324P00739910032W</w:t>
            </w:r>
          </w:p>
        </w:tc>
        <w:tc>
          <w:tcPr>
            <w:tcW w:w="714" w:type="pct"/>
            <w:vAlign w:val="center"/>
          </w:tcPr>
          <w:p>
            <w:pPr>
              <w:pStyle w:val="14"/>
            </w:pPr>
            <w:r>
              <w:t>项目名称</w:t>
            </w:r>
          </w:p>
        </w:tc>
        <w:tc>
          <w:tcPr>
            <w:tcW w:w="2143" w:type="pct"/>
            <w:gridSpan w:val="3"/>
            <w:vAlign w:val="center"/>
          </w:tcPr>
          <w:p>
            <w:pPr>
              <w:pStyle w:val="16"/>
            </w:pPr>
            <w: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2.00</w:t>
            </w:r>
          </w:p>
        </w:tc>
        <w:tc>
          <w:tcPr>
            <w:tcW w:w="714" w:type="pct"/>
            <w:vAlign w:val="center"/>
          </w:tcPr>
          <w:p>
            <w:pPr>
              <w:pStyle w:val="14"/>
            </w:pPr>
            <w:r>
              <w:t>其中：财政    资金</w:t>
            </w:r>
          </w:p>
        </w:tc>
        <w:tc>
          <w:tcPr>
            <w:tcW w:w="714" w:type="pct"/>
            <w:vAlign w:val="center"/>
          </w:tcPr>
          <w:p>
            <w:pPr>
              <w:pStyle w:val="16"/>
            </w:pPr>
            <w:r>
              <w:t>2.00</w:t>
            </w:r>
          </w:p>
        </w:tc>
        <w:tc>
          <w:tcPr>
            <w:tcW w:w="714"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8"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50%</w:t>
            </w:r>
          </w:p>
        </w:tc>
        <w:tc>
          <w:tcPr>
            <w:tcW w:w="714" w:type="pct"/>
            <w:vAlign w:val="center"/>
          </w:tcPr>
          <w:p>
            <w:pPr>
              <w:pStyle w:val="17"/>
            </w:pPr>
            <w:r>
              <w:t>100%</w:t>
            </w:r>
          </w:p>
        </w:tc>
        <w:tc>
          <w:tcPr>
            <w:tcW w:w="1428"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开办宣传专栏数</w:t>
            </w:r>
          </w:p>
        </w:tc>
        <w:tc>
          <w:tcPr>
            <w:tcW w:w="1428" w:type="pct"/>
            <w:vAlign w:val="center"/>
          </w:tcPr>
          <w:p>
            <w:pPr>
              <w:pStyle w:val="16"/>
            </w:pPr>
            <w:r>
              <w:t>在新闻媒体开办宣传专栏的数量</w:t>
            </w:r>
          </w:p>
        </w:tc>
        <w:tc>
          <w:tcPr>
            <w:tcW w:w="714" w:type="pct"/>
            <w:vAlign w:val="center"/>
          </w:tcPr>
          <w:p>
            <w:pPr>
              <w:pStyle w:val="16"/>
            </w:pPr>
            <w:r>
              <w:t>≥5个</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制作宣传品</w:t>
            </w:r>
          </w:p>
        </w:tc>
        <w:tc>
          <w:tcPr>
            <w:tcW w:w="1428" w:type="pct"/>
            <w:vAlign w:val="center"/>
          </w:tcPr>
          <w:p>
            <w:pPr>
              <w:pStyle w:val="16"/>
            </w:pPr>
            <w:r>
              <w:t>制作宣传品的数量</w:t>
            </w:r>
          </w:p>
        </w:tc>
        <w:tc>
          <w:tcPr>
            <w:tcW w:w="714" w:type="pct"/>
            <w:vAlign w:val="center"/>
          </w:tcPr>
          <w:p>
            <w:pPr>
              <w:pStyle w:val="16"/>
            </w:pPr>
            <w:r>
              <w:t>≥1000份</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≤2万元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参与政府决策活动次数</w:t>
            </w:r>
          </w:p>
        </w:tc>
        <w:tc>
          <w:tcPr>
            <w:tcW w:w="1428" w:type="pct"/>
            <w:vAlign w:val="center"/>
          </w:tcPr>
          <w:p>
            <w:pPr>
              <w:pStyle w:val="16"/>
            </w:pPr>
            <w:r>
              <w:t>参与决策咨询活动次数</w:t>
            </w:r>
          </w:p>
        </w:tc>
        <w:tc>
          <w:tcPr>
            <w:tcW w:w="714" w:type="pct"/>
            <w:vAlign w:val="center"/>
          </w:tcPr>
          <w:p>
            <w:pPr>
              <w:pStyle w:val="16"/>
            </w:pPr>
            <w:r>
              <w:t>≥5次</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社会影响力</w:t>
            </w:r>
          </w:p>
        </w:tc>
        <w:tc>
          <w:tcPr>
            <w:tcW w:w="1428" w:type="pct"/>
            <w:vAlign w:val="center"/>
          </w:tcPr>
          <w:p>
            <w:pPr>
              <w:pStyle w:val="16"/>
            </w:pPr>
            <w:r>
              <w:t>在本地区产生的重要影响，得到广大受众的充分认可。</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群众满意度</w:t>
            </w:r>
          </w:p>
        </w:tc>
        <w:tc>
          <w:tcPr>
            <w:tcW w:w="1428" w:type="pct"/>
            <w:vAlign w:val="center"/>
          </w:tcPr>
          <w:p>
            <w:pPr>
              <w:pStyle w:val="16"/>
            </w:pPr>
            <w:r>
              <w:t>群众对团委工作的整体满意度</w:t>
            </w:r>
          </w:p>
        </w:tc>
        <w:tc>
          <w:tcPr>
            <w:tcW w:w="714" w:type="pct"/>
            <w:vAlign w:val="center"/>
          </w:tcPr>
          <w:p>
            <w:pPr>
              <w:pStyle w:val="16"/>
            </w:pPr>
            <w:r>
              <w:t>≥85%</w:t>
            </w:r>
          </w:p>
        </w:tc>
        <w:tc>
          <w:tcPr>
            <w:tcW w:w="714" w:type="pct"/>
            <w:vAlign w:val="center"/>
          </w:tcPr>
          <w:p>
            <w:pPr>
              <w:pStyle w:val="16"/>
            </w:pPr>
            <w:r>
              <w:t>依据工作方案</w:t>
            </w:r>
          </w:p>
        </w:tc>
      </w:tr>
    </w:tbl>
    <w:p>
      <w:pPr>
        <w:jc w:val="both"/>
        <w:rPr>
          <w:rFonts w:ascii="方正仿宋_GBK" w:hAnsi="方正仿宋_GBK" w:eastAsia="方正仿宋_GBK" w:cs="方正仿宋_GBK"/>
          <w:color w:val="000000"/>
          <w:sz w:val="28"/>
        </w:rPr>
      </w:pPr>
    </w:p>
    <w:p>
      <w:pPr>
        <w:jc w:val="both"/>
        <w:rPr>
          <w:rFonts w:ascii="方正仿宋_GBK" w:hAnsi="方正仿宋_GBK" w:eastAsia="方正仿宋_GBK" w:cs="方正仿宋_GBK"/>
          <w:color w:val="000000"/>
          <w:sz w:val="28"/>
        </w:rPr>
      </w:pPr>
    </w:p>
    <w:p>
      <w:pPr>
        <w:jc w:val="both"/>
        <w:rPr>
          <w:rFonts w:ascii="方正仿宋_GBK" w:hAnsi="方正仿宋_GBK" w:eastAsia="方正仿宋_GBK" w:cs="方正仿宋_GBK"/>
          <w:color w:val="000000"/>
          <w:sz w:val="28"/>
        </w:rPr>
      </w:pPr>
    </w:p>
    <w:p>
      <w:pPr>
        <w:jc w:val="both"/>
      </w:pP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lang w:eastAsia="zh-CN"/>
        </w:rPr>
        <w:t xml:space="preserve">  </w:t>
      </w:r>
      <w:r>
        <w:rPr>
          <w:rFonts w:ascii="方正仿宋_GBK" w:hAnsi="方正仿宋_GBK" w:eastAsia="方正仿宋_GBK" w:cs="方正仿宋_GBK"/>
          <w:color w:val="000000"/>
          <w:sz w:val="28"/>
        </w:rPr>
        <w:t>7.维稳经费（年初）绩效目标表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13062324P00739510033R</w:t>
            </w:r>
          </w:p>
        </w:tc>
        <w:tc>
          <w:tcPr>
            <w:tcW w:w="714" w:type="pct"/>
            <w:vAlign w:val="center"/>
          </w:tcPr>
          <w:p>
            <w:pPr>
              <w:pStyle w:val="14"/>
            </w:pPr>
            <w:r>
              <w:t>项目名称</w:t>
            </w:r>
          </w:p>
        </w:tc>
        <w:tc>
          <w:tcPr>
            <w:tcW w:w="2142" w:type="pct"/>
            <w:gridSpan w:val="3"/>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8.00</w:t>
            </w:r>
          </w:p>
        </w:tc>
        <w:tc>
          <w:tcPr>
            <w:tcW w:w="714" w:type="pct"/>
            <w:vAlign w:val="center"/>
          </w:tcPr>
          <w:p>
            <w:pPr>
              <w:pStyle w:val="14"/>
            </w:pPr>
            <w:r>
              <w:t>其中：财政    资金</w:t>
            </w:r>
          </w:p>
        </w:tc>
        <w:tc>
          <w:tcPr>
            <w:tcW w:w="714" w:type="pct"/>
            <w:vAlign w:val="center"/>
          </w:tcPr>
          <w:p>
            <w:pPr>
              <w:pStyle w:val="16"/>
            </w:pPr>
            <w:r>
              <w:t>8.00</w:t>
            </w:r>
          </w:p>
        </w:tc>
        <w:tc>
          <w:tcPr>
            <w:tcW w:w="714"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8"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50%</w:t>
            </w:r>
          </w:p>
        </w:tc>
        <w:tc>
          <w:tcPr>
            <w:tcW w:w="714" w:type="pct"/>
            <w:vAlign w:val="center"/>
          </w:tcPr>
          <w:p>
            <w:pPr>
              <w:pStyle w:val="17"/>
            </w:pPr>
            <w:r>
              <w:t>100%</w:t>
            </w:r>
          </w:p>
        </w:tc>
        <w:tc>
          <w:tcPr>
            <w:tcW w:w="1428"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1.做好信访稳控工作，减少越级访、群访等恶性事件，有效的遏制非法上访；处理人民群众来信、来访，接待和处理人民群众反映的情况和问题。</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重要时期专项护路任务次数（次）</w:t>
            </w:r>
          </w:p>
        </w:tc>
        <w:tc>
          <w:tcPr>
            <w:tcW w:w="1428" w:type="pct"/>
            <w:vAlign w:val="center"/>
          </w:tcPr>
          <w:p>
            <w:pPr>
              <w:pStyle w:val="16"/>
            </w:pPr>
            <w:r>
              <w:t>重要时期专项护路任务次数（次）</w:t>
            </w:r>
          </w:p>
        </w:tc>
        <w:tc>
          <w:tcPr>
            <w:tcW w:w="714" w:type="pct"/>
            <w:vAlign w:val="center"/>
          </w:tcPr>
          <w:p>
            <w:pPr>
              <w:pStyle w:val="16"/>
            </w:pPr>
            <w:r>
              <w:t>≥2次</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矛盾纠纷调处率(%)</w:t>
            </w:r>
          </w:p>
        </w:tc>
        <w:tc>
          <w:tcPr>
            <w:tcW w:w="1428" w:type="pct"/>
            <w:vAlign w:val="center"/>
          </w:tcPr>
          <w:p>
            <w:pPr>
              <w:pStyle w:val="16"/>
            </w:pPr>
            <w:r>
              <w:t>矛盾纠纷调处率(%)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各项任务完成及时率（%）</w:t>
            </w:r>
          </w:p>
        </w:tc>
        <w:tc>
          <w:tcPr>
            <w:tcW w:w="1428" w:type="pct"/>
            <w:vAlign w:val="center"/>
          </w:tcPr>
          <w:p>
            <w:pPr>
              <w:pStyle w:val="16"/>
            </w:pPr>
            <w:r>
              <w:t>各项任务完成及时率（%）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≤8万元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退役安置满意度（%）</w:t>
            </w:r>
          </w:p>
        </w:tc>
        <w:tc>
          <w:tcPr>
            <w:tcW w:w="1428" w:type="pct"/>
            <w:vAlign w:val="center"/>
          </w:tcPr>
          <w:p>
            <w:pPr>
              <w:pStyle w:val="16"/>
            </w:pPr>
            <w:r>
              <w:t>对退役安置满意和较满意的人数占调查总人数的比率</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社会稳定水平</w:t>
            </w:r>
          </w:p>
        </w:tc>
        <w:tc>
          <w:tcPr>
            <w:tcW w:w="1428" w:type="pct"/>
            <w:vAlign w:val="center"/>
          </w:tcPr>
          <w:p>
            <w:pPr>
              <w:pStyle w:val="16"/>
            </w:pPr>
            <w:r>
              <w:t>通过维稳工作开展，促进社会稳定水平逐步提高</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对象满意度指标</w:t>
            </w:r>
          </w:p>
        </w:tc>
        <w:tc>
          <w:tcPr>
            <w:tcW w:w="714" w:type="pct"/>
            <w:vAlign w:val="center"/>
          </w:tcPr>
          <w:p>
            <w:pPr>
              <w:pStyle w:val="16"/>
            </w:pPr>
            <w:r>
              <w:t>信访群众满意度</w:t>
            </w:r>
          </w:p>
        </w:tc>
        <w:tc>
          <w:tcPr>
            <w:tcW w:w="1428" w:type="pct"/>
            <w:vAlign w:val="center"/>
          </w:tcPr>
          <w:p>
            <w:pPr>
              <w:pStyle w:val="16"/>
            </w:pPr>
            <w:r>
              <w:t>信访群众满意度</w:t>
            </w:r>
          </w:p>
        </w:tc>
        <w:tc>
          <w:tcPr>
            <w:tcW w:w="714" w:type="pct"/>
            <w:vAlign w:val="center"/>
          </w:tcPr>
          <w:p>
            <w:pPr>
              <w:pStyle w:val="16"/>
            </w:pPr>
            <w:r>
              <w:t>≥85%</w:t>
            </w:r>
          </w:p>
        </w:tc>
        <w:tc>
          <w:tcPr>
            <w:tcW w:w="714" w:type="pct"/>
            <w:vAlign w:val="center"/>
          </w:tcPr>
          <w:p>
            <w:pPr>
              <w:pStyle w:val="16"/>
            </w:pPr>
            <w:r>
              <w:t>依据工作方案</w:t>
            </w:r>
          </w:p>
        </w:tc>
      </w:tr>
    </w:tbl>
    <w:p>
      <w:pPr>
        <w:sectPr>
          <w:footerReference r:id="rId6" w:type="default"/>
          <w:footerReference r:id="rId7" w:type="even"/>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1"/>
      <w:r>
        <w:rPr>
          <w:rFonts w:ascii="方正仿宋_GBK" w:hAnsi="方正仿宋_GBK" w:eastAsia="方正仿宋_GBK" w:cs="方正仿宋_GBK"/>
          <w:color w:val="000000"/>
          <w:sz w:val="28"/>
        </w:rPr>
        <w:t>8.小型修缮经费（年初）绩效目标表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7"/>
        <w:gridCol w:w="2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13062324P007396100343</w:t>
            </w:r>
          </w:p>
        </w:tc>
        <w:tc>
          <w:tcPr>
            <w:tcW w:w="714" w:type="pct"/>
            <w:vAlign w:val="center"/>
          </w:tcPr>
          <w:p>
            <w:pPr>
              <w:pStyle w:val="14"/>
            </w:pPr>
            <w:r>
              <w:t>项目名称</w:t>
            </w:r>
          </w:p>
        </w:tc>
        <w:tc>
          <w:tcPr>
            <w:tcW w:w="2143" w:type="pct"/>
            <w:gridSpan w:val="3"/>
            <w:vAlign w:val="center"/>
          </w:tcPr>
          <w:p>
            <w:pPr>
              <w:pStyle w:val="16"/>
            </w:pPr>
            <w: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1.57</w:t>
            </w:r>
          </w:p>
        </w:tc>
        <w:tc>
          <w:tcPr>
            <w:tcW w:w="714" w:type="pct"/>
            <w:vAlign w:val="center"/>
          </w:tcPr>
          <w:p>
            <w:pPr>
              <w:pStyle w:val="14"/>
            </w:pPr>
            <w:r>
              <w:t>其中：财政    资金</w:t>
            </w:r>
          </w:p>
        </w:tc>
        <w:tc>
          <w:tcPr>
            <w:tcW w:w="714" w:type="pct"/>
            <w:vAlign w:val="center"/>
          </w:tcPr>
          <w:p>
            <w:pPr>
              <w:pStyle w:val="16"/>
            </w:pPr>
            <w:r>
              <w:t>1.57</w:t>
            </w:r>
          </w:p>
        </w:tc>
        <w:tc>
          <w:tcPr>
            <w:tcW w:w="715"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小型修缮费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9"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100%</w:t>
            </w:r>
          </w:p>
        </w:tc>
        <w:tc>
          <w:tcPr>
            <w:tcW w:w="714" w:type="pct"/>
            <w:vAlign w:val="center"/>
          </w:tcPr>
          <w:p>
            <w:pPr>
              <w:pStyle w:val="17"/>
            </w:pPr>
            <w:r>
              <w:t>100%</w:t>
            </w:r>
          </w:p>
        </w:tc>
        <w:tc>
          <w:tcPr>
            <w:tcW w:w="1429"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1.修复墙体裂缝，修复墙面脱落，修复楼梯踏板，修复房顶风化和削落，修复屋顶渗，修复电线老化</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4288"/>
        <w:gridCol w:w="2144"/>
        <w:gridCol w:w="2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修缮项目验收合格率</w:t>
            </w:r>
          </w:p>
        </w:tc>
        <w:tc>
          <w:tcPr>
            <w:tcW w:w="1428" w:type="pct"/>
            <w:vAlign w:val="center"/>
          </w:tcPr>
          <w:p>
            <w:pPr>
              <w:pStyle w:val="16"/>
            </w:pPr>
            <w:r>
              <w:t>通过验收的工程量占建设、改造、修缮总量的比率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修缮项目完成率</w:t>
            </w:r>
          </w:p>
        </w:tc>
        <w:tc>
          <w:tcPr>
            <w:tcW w:w="1428" w:type="pct"/>
            <w:vAlign w:val="center"/>
          </w:tcPr>
          <w:p>
            <w:pPr>
              <w:pStyle w:val="16"/>
            </w:pPr>
            <w:r>
              <w:t>实际完成工程量占计划完成工程量的比率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≥1.57万元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公共服务水平提升情况</w:t>
            </w:r>
          </w:p>
        </w:tc>
        <w:tc>
          <w:tcPr>
            <w:tcW w:w="1428" w:type="pct"/>
            <w:vAlign w:val="center"/>
          </w:tcPr>
          <w:p>
            <w:pPr>
              <w:pStyle w:val="16"/>
            </w:pPr>
            <w:r>
              <w:t>购置对公共服务水平的提升情况</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办公设施的改善成效</w:t>
            </w:r>
          </w:p>
        </w:tc>
        <w:tc>
          <w:tcPr>
            <w:tcW w:w="1428" w:type="pct"/>
            <w:vAlign w:val="center"/>
          </w:tcPr>
          <w:p>
            <w:pPr>
              <w:pStyle w:val="16"/>
            </w:pPr>
            <w:r>
              <w:t>反映修缮后办公设施改善情况</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服务对象满意度</w:t>
            </w:r>
          </w:p>
        </w:tc>
        <w:tc>
          <w:tcPr>
            <w:tcW w:w="1428" w:type="pct"/>
            <w:vAlign w:val="center"/>
          </w:tcPr>
          <w:p>
            <w:pPr>
              <w:pStyle w:val="16"/>
            </w:pPr>
            <w:r>
              <w:t>乡镇工作人员对修缮后的办公设备器材的满意度</w:t>
            </w:r>
          </w:p>
        </w:tc>
        <w:tc>
          <w:tcPr>
            <w:tcW w:w="714" w:type="pct"/>
            <w:vAlign w:val="center"/>
          </w:tcPr>
          <w:p>
            <w:pPr>
              <w:pStyle w:val="16"/>
            </w:pPr>
            <w:r>
              <w:t>≥851</w:t>
            </w:r>
          </w:p>
        </w:tc>
        <w:tc>
          <w:tcPr>
            <w:tcW w:w="714" w:type="pct"/>
            <w:vAlign w:val="center"/>
          </w:tcPr>
          <w:p>
            <w:pPr>
              <w:pStyle w:val="16"/>
            </w:pPr>
            <w:r>
              <w:t>依据工作方案</w:t>
            </w:r>
          </w:p>
        </w:tc>
      </w:tr>
    </w:tbl>
    <w:p>
      <w:pPr>
        <w:pStyle w:val="11"/>
        <w:ind w:firstLine="0"/>
        <w:rPr>
          <w:color w:val="000000"/>
        </w:rPr>
      </w:pPr>
    </w:p>
    <w:p>
      <w:pPr>
        <w:pStyle w:val="11"/>
        <w:ind w:firstLine="0"/>
        <w:rPr>
          <w:color w:val="000000"/>
        </w:rPr>
      </w:pPr>
    </w:p>
    <w:p>
      <w:pPr>
        <w:pStyle w:val="11"/>
        <w:ind w:firstLine="0"/>
        <w:rPr>
          <w:color w:val="000000"/>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val="en-US" w:eastAsia="zh-CN"/>
        </w:rPr>
        <w:t>乡镇行政执法专项经费（含秸秆禁烧经费）绩效目标表</w:t>
      </w:r>
    </w:p>
    <w:tbl>
      <w:tblPr>
        <w:tblStyle w:val="8"/>
        <w:tblW w:w="4996"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01"/>
        <w:gridCol w:w="2277"/>
        <w:gridCol w:w="645"/>
        <w:gridCol w:w="1551"/>
        <w:gridCol w:w="1128"/>
        <w:gridCol w:w="624"/>
        <w:gridCol w:w="2997"/>
        <w:gridCol w:w="2011"/>
        <w:gridCol w:w="17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411" w:type="pct"/>
            <w:gridSpan w:val="8"/>
            <w:tcBorders>
              <w:top w:val="single" w:color="FFFFFF" w:sz="6" w:space="0"/>
              <w:left w:val="single" w:color="FFFFFF" w:sz="6" w:space="0"/>
              <w:right w:val="single" w:color="FFFFFF" w:sz="6" w:space="0"/>
            </w:tcBorders>
            <w:noWrap w:val="0"/>
            <w:vAlign w:val="center"/>
          </w:tcPr>
          <w:p>
            <w:pPr>
              <w:pStyle w:val="20"/>
              <w:keepNext w:val="0"/>
              <w:keepLines w:val="0"/>
              <w:pageBreakBefore w:val="0"/>
              <w:widowControl w:val="0"/>
              <w:kinsoku/>
              <w:wordWrap/>
              <w:overflowPunct/>
              <w:topLinePunct w:val="0"/>
              <w:autoSpaceDE/>
              <w:autoSpaceDN/>
              <w:bidi w:val="0"/>
              <w:spacing w:line="300" w:lineRule="atLeast"/>
              <w:textAlignment w:val="auto"/>
              <w:rPr>
                <w:rFonts w:hint="eastAsia"/>
              </w:rPr>
            </w:pPr>
            <w:r>
              <w:t>816涞水县龙门乡人民政府</w:t>
            </w:r>
          </w:p>
        </w:tc>
        <w:tc>
          <w:tcPr>
            <w:tcW w:w="588" w:type="pct"/>
            <w:tcBorders>
              <w:top w:val="single" w:color="FFFFFF" w:sz="6" w:space="0"/>
              <w:left w:val="single" w:color="FFFFFF" w:sz="6" w:space="0"/>
              <w:right w:val="single" w:color="FFFFFF" w:sz="6" w:space="0"/>
            </w:tcBorders>
            <w:noWrap w:val="0"/>
            <w:vAlign w:val="center"/>
          </w:tcPr>
          <w:p>
            <w:pPr>
              <w:pStyle w:val="15"/>
              <w:keepNext w:val="0"/>
              <w:keepLines w:val="0"/>
              <w:pageBreakBefore w:val="0"/>
              <w:widowControl w:val="0"/>
              <w:kinsoku/>
              <w:wordWrap/>
              <w:overflowPunct/>
              <w:topLinePunct w:val="0"/>
              <w:autoSpaceDE/>
              <w:autoSpaceDN/>
              <w:bidi w:val="0"/>
              <w:spacing w:line="300" w:lineRule="atLeast"/>
              <w:textAlignment w:val="auto"/>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667" w:type="pct"/>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项目编码</w:t>
            </w:r>
          </w:p>
        </w:tc>
        <w:tc>
          <w:tcPr>
            <w:tcW w:w="1491" w:type="pct"/>
            <w:gridSpan w:val="3"/>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300" w:lineRule="atLeast"/>
              <w:textAlignment w:val="auto"/>
            </w:pPr>
            <w:r>
              <w:t>13062324P008983104683</w:t>
            </w:r>
          </w:p>
        </w:tc>
        <w:tc>
          <w:tcPr>
            <w:tcW w:w="584" w:type="pct"/>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项目名称</w:t>
            </w:r>
          </w:p>
        </w:tc>
        <w:tc>
          <w:tcPr>
            <w:tcW w:w="2257" w:type="pct"/>
            <w:gridSpan w:val="3"/>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300" w:lineRule="atLeast"/>
              <w:textAlignment w:val="auto"/>
            </w:pPr>
            <w:r>
              <w:t>乡镇行政执法专项经费（含秸秆禁烧经费）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667" w:type="pct"/>
            <w:vMerge w:val="restart"/>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预算规模及资金用途</w:t>
            </w:r>
          </w:p>
        </w:tc>
        <w:tc>
          <w:tcPr>
            <w:tcW w:w="974" w:type="pct"/>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预算数</w:t>
            </w:r>
          </w:p>
        </w:tc>
        <w:tc>
          <w:tcPr>
            <w:tcW w:w="517" w:type="pct"/>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300" w:lineRule="atLeast"/>
              <w:textAlignment w:val="auto"/>
            </w:pPr>
            <w:r>
              <w:t>1.50</w:t>
            </w:r>
          </w:p>
        </w:tc>
        <w:tc>
          <w:tcPr>
            <w:tcW w:w="584" w:type="pct"/>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其中：财政资金</w:t>
            </w:r>
          </w:p>
        </w:tc>
        <w:tc>
          <w:tcPr>
            <w:tcW w:w="999" w:type="pct"/>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300" w:lineRule="atLeast"/>
              <w:textAlignment w:val="auto"/>
            </w:pPr>
            <w:r>
              <w:t>1.50</w:t>
            </w:r>
          </w:p>
        </w:tc>
        <w:tc>
          <w:tcPr>
            <w:tcW w:w="668" w:type="pct"/>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其他资金</w:t>
            </w:r>
          </w:p>
        </w:tc>
        <w:tc>
          <w:tcPr>
            <w:tcW w:w="588" w:type="pct"/>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300" w:lineRule="atLeast"/>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667" w:type="pct"/>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atLeast"/>
              <w:textAlignment w:val="auto"/>
            </w:pPr>
          </w:p>
        </w:tc>
        <w:tc>
          <w:tcPr>
            <w:tcW w:w="4332" w:type="pct"/>
            <w:gridSpan w:val="8"/>
            <w:noWrap w:val="0"/>
            <w:vAlign w:val="center"/>
          </w:tcPr>
          <w:p>
            <w:pPr>
              <w:pStyle w:val="16"/>
            </w:pPr>
            <w:r>
              <w:t>乡镇行政执法专项经费</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667" w:type="pct"/>
            <w:vMerge w:val="restart"/>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资金支出计划（%）</w:t>
            </w:r>
          </w:p>
        </w:tc>
        <w:tc>
          <w:tcPr>
            <w:tcW w:w="1491" w:type="pct"/>
            <w:gridSpan w:val="3"/>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3月底</w:t>
            </w:r>
          </w:p>
        </w:tc>
        <w:tc>
          <w:tcPr>
            <w:tcW w:w="584" w:type="pct"/>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6月底</w:t>
            </w:r>
          </w:p>
        </w:tc>
        <w:tc>
          <w:tcPr>
            <w:tcW w:w="999" w:type="pct"/>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10月底</w:t>
            </w:r>
          </w:p>
        </w:tc>
        <w:tc>
          <w:tcPr>
            <w:tcW w:w="1257" w:type="pct"/>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4" w:hRule="atLeast"/>
          <w:jc w:val="center"/>
        </w:trPr>
        <w:tc>
          <w:tcPr>
            <w:tcW w:w="667" w:type="pct"/>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atLeast"/>
              <w:textAlignment w:val="auto"/>
            </w:pPr>
          </w:p>
        </w:tc>
        <w:tc>
          <w:tcPr>
            <w:tcW w:w="1491" w:type="pct"/>
            <w:gridSpan w:val="3"/>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300" w:lineRule="atLeast"/>
              <w:textAlignment w:val="auto"/>
            </w:pPr>
            <w:r>
              <w:t>50%</w:t>
            </w:r>
          </w:p>
        </w:tc>
        <w:tc>
          <w:tcPr>
            <w:tcW w:w="584" w:type="pct"/>
            <w:gridSpan w:val="2"/>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300" w:lineRule="atLeast"/>
              <w:textAlignment w:val="auto"/>
            </w:pPr>
            <w:r>
              <w:t>100%</w:t>
            </w:r>
          </w:p>
        </w:tc>
        <w:tc>
          <w:tcPr>
            <w:tcW w:w="999" w:type="pct"/>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300" w:lineRule="atLeast"/>
              <w:textAlignment w:val="auto"/>
            </w:pPr>
            <w:r>
              <w:t>100%</w:t>
            </w:r>
          </w:p>
        </w:tc>
        <w:tc>
          <w:tcPr>
            <w:tcW w:w="1257" w:type="pct"/>
            <w:gridSpan w:val="2"/>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300" w:lineRule="atLeast"/>
              <w:textAlignment w:val="auto"/>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667" w:type="pct"/>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300" w:lineRule="atLeast"/>
              <w:textAlignment w:val="auto"/>
            </w:pPr>
            <w:r>
              <w:t>绩效目标</w:t>
            </w:r>
          </w:p>
        </w:tc>
        <w:tc>
          <w:tcPr>
            <w:tcW w:w="4332" w:type="pct"/>
            <w:gridSpan w:val="8"/>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300" w:lineRule="atLeast"/>
              <w:textAlignment w:val="auto"/>
            </w:pPr>
            <w:r>
              <w:t>1.做好信访稳控工作，减少越级访、群访等恶性事件，有效的遏制非法上访；处理人民群众来信、来访，接待和处理人民群众反映的情况和问题。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 w:type="pct"/>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一级指标</w:t>
            </w:r>
          </w:p>
        </w:tc>
        <w:tc>
          <w:tcPr>
            <w:tcW w:w="759" w:type="pct"/>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二级指标</w:t>
            </w:r>
          </w:p>
        </w:tc>
        <w:tc>
          <w:tcPr>
            <w:tcW w:w="1108" w:type="pct"/>
            <w:gridSpan w:val="3"/>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三级指标</w:t>
            </w:r>
          </w:p>
        </w:tc>
        <w:tc>
          <w:tcPr>
            <w:tcW w:w="1207" w:type="pct"/>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绩效指标描述</w:t>
            </w:r>
          </w:p>
        </w:tc>
        <w:tc>
          <w:tcPr>
            <w:tcW w:w="668" w:type="pct"/>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指标值</w:t>
            </w:r>
          </w:p>
        </w:tc>
        <w:tc>
          <w:tcPr>
            <w:tcW w:w="588" w:type="pct"/>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restart"/>
            <w:noWrap w:val="0"/>
            <w:vAlign w:val="center"/>
          </w:tcPr>
          <w:p>
            <w:pPr>
              <w:pStyle w:val="17"/>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产出指标</w:t>
            </w:r>
          </w:p>
        </w:tc>
        <w:tc>
          <w:tcPr>
            <w:tcW w:w="759"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数量指标</w:t>
            </w:r>
          </w:p>
        </w:tc>
        <w:tc>
          <w:tcPr>
            <w:tcW w:w="1108" w:type="pct"/>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重要时期专项护路任务次数（次）</w:t>
            </w:r>
          </w:p>
        </w:tc>
        <w:tc>
          <w:tcPr>
            <w:tcW w:w="1207" w:type="pct"/>
            <w:gridSpan w:val="2"/>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重要时期专项护路任务次数（次）</w:t>
            </w:r>
          </w:p>
        </w:tc>
        <w:tc>
          <w:tcPr>
            <w:tcW w:w="66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≥2次</w:t>
            </w:r>
          </w:p>
        </w:tc>
        <w:tc>
          <w:tcPr>
            <w:tcW w:w="58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pPr>
          </w:p>
        </w:tc>
        <w:tc>
          <w:tcPr>
            <w:tcW w:w="759"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质量指标</w:t>
            </w:r>
          </w:p>
        </w:tc>
        <w:tc>
          <w:tcPr>
            <w:tcW w:w="1108" w:type="pct"/>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重大安保任务完成率(%)</w:t>
            </w:r>
          </w:p>
        </w:tc>
        <w:tc>
          <w:tcPr>
            <w:tcW w:w="1207" w:type="pct"/>
            <w:gridSpan w:val="2"/>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重大安保任务完成率(%)</w:t>
            </w:r>
          </w:p>
        </w:tc>
        <w:tc>
          <w:tcPr>
            <w:tcW w:w="66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≥90百分比</w:t>
            </w:r>
          </w:p>
        </w:tc>
        <w:tc>
          <w:tcPr>
            <w:tcW w:w="58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pPr>
          </w:p>
        </w:tc>
        <w:tc>
          <w:tcPr>
            <w:tcW w:w="759"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时效指标</w:t>
            </w:r>
          </w:p>
        </w:tc>
        <w:tc>
          <w:tcPr>
            <w:tcW w:w="1108" w:type="pct"/>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各项任务完成及时率（%）</w:t>
            </w:r>
          </w:p>
        </w:tc>
        <w:tc>
          <w:tcPr>
            <w:tcW w:w="1207" w:type="pct"/>
            <w:gridSpan w:val="2"/>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各项任务完成及时率（%）</w:t>
            </w:r>
          </w:p>
        </w:tc>
        <w:tc>
          <w:tcPr>
            <w:tcW w:w="66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≥90百分比</w:t>
            </w:r>
          </w:p>
        </w:tc>
        <w:tc>
          <w:tcPr>
            <w:tcW w:w="58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pPr>
          </w:p>
        </w:tc>
        <w:tc>
          <w:tcPr>
            <w:tcW w:w="759"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成本指标</w:t>
            </w:r>
          </w:p>
        </w:tc>
        <w:tc>
          <w:tcPr>
            <w:tcW w:w="1108" w:type="pct"/>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经费控制数</w:t>
            </w:r>
          </w:p>
        </w:tc>
        <w:tc>
          <w:tcPr>
            <w:tcW w:w="1207" w:type="pct"/>
            <w:gridSpan w:val="2"/>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经费控制数</w:t>
            </w:r>
          </w:p>
        </w:tc>
        <w:tc>
          <w:tcPr>
            <w:tcW w:w="66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1.5万元</w:t>
            </w:r>
          </w:p>
        </w:tc>
        <w:tc>
          <w:tcPr>
            <w:tcW w:w="58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noWrap w:val="0"/>
            <w:vAlign w:val="center"/>
          </w:tcPr>
          <w:p>
            <w:pPr>
              <w:pStyle w:val="17"/>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效益指标</w:t>
            </w:r>
          </w:p>
        </w:tc>
        <w:tc>
          <w:tcPr>
            <w:tcW w:w="759"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社会效益指标</w:t>
            </w:r>
          </w:p>
        </w:tc>
        <w:tc>
          <w:tcPr>
            <w:tcW w:w="1108" w:type="pct"/>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社会稳定水平</w:t>
            </w:r>
          </w:p>
        </w:tc>
        <w:tc>
          <w:tcPr>
            <w:tcW w:w="1207" w:type="pct"/>
            <w:gridSpan w:val="2"/>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社会稳定水平</w:t>
            </w:r>
          </w:p>
        </w:tc>
        <w:tc>
          <w:tcPr>
            <w:tcW w:w="66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≥90百分比</w:t>
            </w:r>
          </w:p>
        </w:tc>
        <w:tc>
          <w:tcPr>
            <w:tcW w:w="58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noWrap w:val="0"/>
            <w:vAlign w:val="center"/>
          </w:tcPr>
          <w:p>
            <w:pPr>
              <w:pStyle w:val="17"/>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满意度指标</w:t>
            </w:r>
          </w:p>
        </w:tc>
        <w:tc>
          <w:tcPr>
            <w:tcW w:w="759"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服务对象满意度指标</w:t>
            </w:r>
          </w:p>
        </w:tc>
        <w:tc>
          <w:tcPr>
            <w:tcW w:w="1108" w:type="pct"/>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群众满意度</w:t>
            </w:r>
          </w:p>
        </w:tc>
        <w:tc>
          <w:tcPr>
            <w:tcW w:w="1207" w:type="pct"/>
            <w:gridSpan w:val="2"/>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群众满意度</w:t>
            </w:r>
          </w:p>
        </w:tc>
        <w:tc>
          <w:tcPr>
            <w:tcW w:w="66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≥93百分比</w:t>
            </w:r>
          </w:p>
        </w:tc>
        <w:tc>
          <w:tcPr>
            <w:tcW w:w="588"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pPr>
            <w:r>
              <w:t>依据工作方案</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
      <w:pPr>
        <w:spacing w:line="500" w:lineRule="exact"/>
        <w:ind w:firstLine="560"/>
        <w:rPr>
          <w:rFonts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我单位没有安排政府采购预算，空表列示</w:t>
      </w:r>
      <w:r>
        <w:rPr>
          <w:rFonts w:hint="eastAsia" w:ascii="仿宋" w:hAnsi="仿宋" w:eastAsia="仿宋" w:cs="仿宋"/>
          <w:color w:val="000000"/>
          <w:sz w:val="32"/>
          <w:szCs w:val="32"/>
        </w:rPr>
        <w:t>。</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1"/>
        <w:gridCol w:w="1161"/>
        <w:gridCol w:w="1006"/>
        <w:gridCol w:w="1655"/>
        <w:gridCol w:w="811"/>
        <w:gridCol w:w="544"/>
        <w:gridCol w:w="712"/>
        <w:gridCol w:w="913"/>
        <w:gridCol w:w="1387"/>
        <w:gridCol w:w="1147"/>
        <w:gridCol w:w="1081"/>
        <w:gridCol w:w="1826"/>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2258" w:type="pct"/>
            <w:gridSpan w:val="7"/>
            <w:tcBorders>
              <w:top w:val="single" w:color="FFFFFF" w:sz="6" w:space="0"/>
              <w:left w:val="single" w:color="FFFFFF" w:sz="6" w:space="0"/>
              <w:right w:val="single" w:color="FFFFFF" w:sz="6" w:space="0"/>
            </w:tcBorders>
            <w:vAlign w:val="center"/>
          </w:tcPr>
          <w:p>
            <w:pPr>
              <w:widowControl w:val="0"/>
              <w:spacing w:line="400" w:lineRule="exact"/>
              <w:rPr>
                <w:rFonts w:ascii="宋体" w:hAnsi="宋体" w:eastAsia="宋体" w:cs="宋体"/>
                <w:sz w:val="21"/>
                <w:szCs w:val="21"/>
              </w:rPr>
            </w:pPr>
          </w:p>
        </w:tc>
        <w:tc>
          <w:tcPr>
            <w:tcW w:w="2741" w:type="pct"/>
            <w:gridSpan w:val="6"/>
            <w:tcBorders>
              <w:top w:val="single" w:color="FFFFFF" w:sz="6" w:space="0"/>
              <w:left w:val="single" w:color="FFFFFF" w:sz="6" w:space="0"/>
              <w:right w:val="single" w:color="FFFFFF" w:sz="6" w:space="0"/>
            </w:tcBorders>
            <w:vAlign w:val="center"/>
          </w:tcPr>
          <w:p>
            <w:pPr>
              <w:widowControl w:val="0"/>
              <w:spacing w:line="400" w:lineRule="exact"/>
              <w:jc w:val="right"/>
              <w:rPr>
                <w:rFonts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tblHeader/>
          <w:jc w:val="center"/>
        </w:trPr>
        <w:tc>
          <w:tcPr>
            <w:tcW w:w="684" w:type="pct"/>
            <w:gridSpan w:val="2"/>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政府采购项目来源</w:t>
            </w:r>
          </w:p>
        </w:tc>
        <w:tc>
          <w:tcPr>
            <w:tcW w:w="335" w:type="pct"/>
            <w:vMerge w:val="restar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采购</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物品</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名称</w:t>
            </w:r>
          </w:p>
        </w:tc>
        <w:tc>
          <w:tcPr>
            <w:tcW w:w="551" w:type="pct"/>
            <w:vMerge w:val="restar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政府采购</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目录序号</w:t>
            </w:r>
          </w:p>
        </w:tc>
        <w:tc>
          <w:tcPr>
            <w:tcW w:w="270" w:type="pct"/>
            <w:vMerge w:val="restar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计量  单位</w:t>
            </w:r>
          </w:p>
        </w:tc>
        <w:tc>
          <w:tcPr>
            <w:tcW w:w="181" w:type="pct"/>
            <w:vMerge w:val="restar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数量</w:t>
            </w:r>
          </w:p>
        </w:tc>
        <w:tc>
          <w:tcPr>
            <w:tcW w:w="236" w:type="pct"/>
            <w:vMerge w:val="restar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单价</w:t>
            </w:r>
          </w:p>
        </w:tc>
        <w:tc>
          <w:tcPr>
            <w:tcW w:w="2741" w:type="pct"/>
            <w:gridSpan w:val="6"/>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9" w:hRule="atLeast"/>
          <w:tblHeader/>
          <w:jc w:val="center"/>
        </w:trPr>
        <w:tc>
          <w:tcPr>
            <w:tcW w:w="297"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项目</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名称</w:t>
            </w:r>
          </w:p>
        </w:tc>
        <w:tc>
          <w:tcPr>
            <w:tcW w:w="386"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预算</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资金</w:t>
            </w:r>
          </w:p>
        </w:tc>
        <w:tc>
          <w:tcPr>
            <w:tcW w:w="335" w:type="pct"/>
            <w:vMerge w:val="continue"/>
            <w:vAlign w:val="center"/>
          </w:tcPr>
          <w:p>
            <w:pPr>
              <w:widowControl w:val="0"/>
              <w:spacing w:line="400" w:lineRule="exact"/>
              <w:outlineLvl w:val="0"/>
              <w:rPr>
                <w:rFonts w:ascii="宋体" w:hAnsi="宋体" w:eastAsia="宋体" w:cs="宋体"/>
                <w:sz w:val="21"/>
                <w:szCs w:val="21"/>
              </w:rPr>
            </w:pPr>
          </w:p>
        </w:tc>
        <w:tc>
          <w:tcPr>
            <w:tcW w:w="551" w:type="pct"/>
            <w:vMerge w:val="continue"/>
            <w:vAlign w:val="center"/>
          </w:tcPr>
          <w:p>
            <w:pPr>
              <w:widowControl w:val="0"/>
              <w:spacing w:line="400" w:lineRule="exact"/>
              <w:outlineLvl w:val="0"/>
              <w:rPr>
                <w:rFonts w:ascii="宋体" w:hAnsi="宋体" w:eastAsia="宋体" w:cs="宋体"/>
                <w:sz w:val="21"/>
                <w:szCs w:val="21"/>
              </w:rPr>
            </w:pPr>
          </w:p>
        </w:tc>
        <w:tc>
          <w:tcPr>
            <w:tcW w:w="270" w:type="pct"/>
            <w:vMerge w:val="continue"/>
            <w:vAlign w:val="center"/>
          </w:tcPr>
          <w:p>
            <w:pPr>
              <w:widowControl w:val="0"/>
              <w:spacing w:line="400" w:lineRule="exact"/>
              <w:outlineLvl w:val="0"/>
              <w:rPr>
                <w:rFonts w:ascii="宋体" w:hAnsi="宋体" w:eastAsia="宋体" w:cs="宋体"/>
                <w:sz w:val="21"/>
                <w:szCs w:val="21"/>
              </w:rPr>
            </w:pPr>
          </w:p>
        </w:tc>
        <w:tc>
          <w:tcPr>
            <w:tcW w:w="181" w:type="pct"/>
            <w:vMerge w:val="continue"/>
            <w:vAlign w:val="center"/>
          </w:tcPr>
          <w:p>
            <w:pPr>
              <w:widowControl w:val="0"/>
              <w:spacing w:line="400" w:lineRule="exact"/>
              <w:outlineLvl w:val="0"/>
              <w:rPr>
                <w:rFonts w:ascii="宋体" w:hAnsi="宋体" w:eastAsia="宋体" w:cs="宋体"/>
                <w:sz w:val="21"/>
                <w:szCs w:val="21"/>
              </w:rPr>
            </w:pPr>
          </w:p>
        </w:tc>
        <w:tc>
          <w:tcPr>
            <w:tcW w:w="236" w:type="pct"/>
            <w:vMerge w:val="continue"/>
            <w:vAlign w:val="center"/>
          </w:tcPr>
          <w:p>
            <w:pPr>
              <w:widowControl w:val="0"/>
              <w:spacing w:line="400" w:lineRule="exact"/>
              <w:outlineLvl w:val="0"/>
              <w:rPr>
                <w:rFonts w:ascii="宋体" w:hAnsi="宋体" w:eastAsia="宋体" w:cs="宋体"/>
                <w:sz w:val="21"/>
                <w:szCs w:val="21"/>
              </w:rPr>
            </w:pPr>
          </w:p>
        </w:tc>
        <w:tc>
          <w:tcPr>
            <w:tcW w:w="304"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合计</w:t>
            </w:r>
          </w:p>
        </w:tc>
        <w:tc>
          <w:tcPr>
            <w:tcW w:w="462"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一般公共预算拨款</w:t>
            </w:r>
          </w:p>
        </w:tc>
        <w:tc>
          <w:tcPr>
            <w:tcW w:w="382"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基金预算拨款</w:t>
            </w:r>
          </w:p>
        </w:tc>
        <w:tc>
          <w:tcPr>
            <w:tcW w:w="360"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国有资本经营预算拨款</w:t>
            </w:r>
          </w:p>
        </w:tc>
        <w:tc>
          <w:tcPr>
            <w:tcW w:w="608"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财政专户核拨</w:t>
            </w:r>
          </w:p>
        </w:tc>
        <w:tc>
          <w:tcPr>
            <w:tcW w:w="623"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 w:hRule="atLeast"/>
          <w:jc w:val="center"/>
        </w:trPr>
        <w:tc>
          <w:tcPr>
            <w:tcW w:w="297" w:type="pct"/>
            <w:vAlign w:val="center"/>
          </w:tcPr>
          <w:p>
            <w:pPr>
              <w:widowControl w:val="0"/>
              <w:spacing w:line="400" w:lineRule="exact"/>
              <w:jc w:val="center"/>
              <w:rPr>
                <w:rFonts w:ascii="宋体" w:hAnsi="宋体" w:cs="宋体"/>
                <w:b/>
                <w:sz w:val="18"/>
                <w:szCs w:val="18"/>
              </w:rPr>
            </w:pPr>
          </w:p>
        </w:tc>
        <w:tc>
          <w:tcPr>
            <w:tcW w:w="386" w:type="pct"/>
            <w:vAlign w:val="center"/>
          </w:tcPr>
          <w:p>
            <w:pPr>
              <w:widowControl w:val="0"/>
              <w:spacing w:line="400" w:lineRule="exact"/>
              <w:jc w:val="right"/>
              <w:rPr>
                <w:rFonts w:ascii="宋体" w:hAnsi="宋体" w:cs="宋体"/>
                <w:b/>
                <w:sz w:val="18"/>
                <w:szCs w:val="18"/>
              </w:rPr>
            </w:pPr>
          </w:p>
        </w:tc>
        <w:tc>
          <w:tcPr>
            <w:tcW w:w="335" w:type="pct"/>
            <w:vAlign w:val="center"/>
          </w:tcPr>
          <w:p>
            <w:pPr>
              <w:widowControl w:val="0"/>
              <w:spacing w:line="400" w:lineRule="exact"/>
              <w:rPr>
                <w:rFonts w:ascii="宋体" w:hAnsi="宋体" w:cs="宋体"/>
                <w:b/>
                <w:sz w:val="18"/>
                <w:szCs w:val="18"/>
              </w:rPr>
            </w:pPr>
          </w:p>
        </w:tc>
        <w:tc>
          <w:tcPr>
            <w:tcW w:w="551" w:type="pct"/>
            <w:vAlign w:val="center"/>
          </w:tcPr>
          <w:p>
            <w:pPr>
              <w:widowControl w:val="0"/>
              <w:spacing w:line="400" w:lineRule="exact"/>
              <w:rPr>
                <w:rFonts w:ascii="宋体" w:hAnsi="宋体" w:cs="宋体"/>
                <w:b/>
                <w:sz w:val="18"/>
                <w:szCs w:val="18"/>
              </w:rPr>
            </w:pPr>
          </w:p>
        </w:tc>
        <w:tc>
          <w:tcPr>
            <w:tcW w:w="270" w:type="pct"/>
            <w:vAlign w:val="center"/>
          </w:tcPr>
          <w:p>
            <w:pPr>
              <w:widowControl w:val="0"/>
              <w:spacing w:line="400" w:lineRule="exact"/>
              <w:jc w:val="center"/>
              <w:rPr>
                <w:rFonts w:ascii="宋体" w:hAnsi="宋体" w:cs="宋体"/>
                <w:b/>
                <w:sz w:val="18"/>
                <w:szCs w:val="18"/>
              </w:rPr>
            </w:pPr>
          </w:p>
        </w:tc>
        <w:tc>
          <w:tcPr>
            <w:tcW w:w="181" w:type="pct"/>
            <w:vAlign w:val="center"/>
          </w:tcPr>
          <w:p>
            <w:pPr>
              <w:widowControl w:val="0"/>
              <w:spacing w:line="400" w:lineRule="exact"/>
              <w:jc w:val="right"/>
              <w:rPr>
                <w:rFonts w:ascii="宋体" w:hAnsi="宋体" w:cs="宋体"/>
                <w:b/>
                <w:sz w:val="18"/>
                <w:szCs w:val="18"/>
              </w:rPr>
            </w:pPr>
          </w:p>
        </w:tc>
        <w:tc>
          <w:tcPr>
            <w:tcW w:w="236" w:type="pct"/>
            <w:vAlign w:val="center"/>
          </w:tcPr>
          <w:p>
            <w:pPr>
              <w:widowControl w:val="0"/>
              <w:spacing w:line="400" w:lineRule="exact"/>
              <w:jc w:val="right"/>
              <w:rPr>
                <w:rFonts w:ascii="宋体" w:hAnsi="宋体" w:cs="宋体"/>
                <w:b/>
                <w:sz w:val="18"/>
                <w:szCs w:val="18"/>
              </w:rPr>
            </w:pPr>
          </w:p>
        </w:tc>
        <w:tc>
          <w:tcPr>
            <w:tcW w:w="304" w:type="pct"/>
            <w:vAlign w:val="center"/>
          </w:tcPr>
          <w:p>
            <w:pPr>
              <w:widowControl w:val="0"/>
              <w:spacing w:line="400" w:lineRule="exact"/>
              <w:jc w:val="right"/>
              <w:rPr>
                <w:rFonts w:ascii="宋体" w:hAnsi="宋体" w:cs="宋体"/>
                <w:b/>
                <w:sz w:val="18"/>
                <w:szCs w:val="18"/>
              </w:rPr>
            </w:pPr>
          </w:p>
        </w:tc>
        <w:tc>
          <w:tcPr>
            <w:tcW w:w="462" w:type="pct"/>
            <w:vAlign w:val="center"/>
          </w:tcPr>
          <w:p>
            <w:pPr>
              <w:widowControl w:val="0"/>
              <w:spacing w:line="400" w:lineRule="exact"/>
              <w:rPr>
                <w:rFonts w:ascii="宋体" w:hAnsi="宋体" w:cs="宋体"/>
                <w:b/>
                <w:sz w:val="18"/>
                <w:szCs w:val="18"/>
              </w:rPr>
            </w:pPr>
          </w:p>
        </w:tc>
        <w:tc>
          <w:tcPr>
            <w:tcW w:w="382" w:type="pct"/>
            <w:vAlign w:val="center"/>
          </w:tcPr>
          <w:p>
            <w:pPr>
              <w:widowControl w:val="0"/>
              <w:spacing w:line="400" w:lineRule="exact"/>
              <w:jc w:val="right"/>
              <w:rPr>
                <w:rFonts w:ascii="宋体" w:hAnsi="宋体" w:cs="宋体"/>
                <w:b/>
                <w:sz w:val="18"/>
                <w:szCs w:val="18"/>
              </w:rPr>
            </w:pPr>
          </w:p>
        </w:tc>
        <w:tc>
          <w:tcPr>
            <w:tcW w:w="360" w:type="pct"/>
            <w:vAlign w:val="center"/>
          </w:tcPr>
          <w:p>
            <w:pPr>
              <w:widowControl w:val="0"/>
              <w:spacing w:line="400" w:lineRule="exact"/>
              <w:jc w:val="right"/>
              <w:rPr>
                <w:rFonts w:ascii="宋体" w:hAnsi="宋体" w:cs="宋体"/>
                <w:b/>
                <w:sz w:val="18"/>
                <w:szCs w:val="18"/>
              </w:rPr>
            </w:pPr>
          </w:p>
        </w:tc>
        <w:tc>
          <w:tcPr>
            <w:tcW w:w="608" w:type="pct"/>
            <w:vAlign w:val="center"/>
          </w:tcPr>
          <w:p>
            <w:pPr>
              <w:widowControl w:val="0"/>
              <w:spacing w:line="400" w:lineRule="exact"/>
              <w:jc w:val="right"/>
              <w:rPr>
                <w:rFonts w:ascii="宋体" w:hAnsi="宋体" w:cs="宋体"/>
                <w:b/>
                <w:sz w:val="18"/>
                <w:szCs w:val="18"/>
              </w:rPr>
            </w:pPr>
          </w:p>
        </w:tc>
        <w:tc>
          <w:tcPr>
            <w:tcW w:w="623" w:type="pct"/>
            <w:vAlign w:val="center"/>
          </w:tcPr>
          <w:p>
            <w:pPr>
              <w:widowControl w:val="0"/>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7" w:hRule="atLeast"/>
          <w:jc w:val="center"/>
        </w:trPr>
        <w:tc>
          <w:tcPr>
            <w:tcW w:w="297" w:type="pct"/>
            <w:vAlign w:val="center"/>
          </w:tcPr>
          <w:p>
            <w:pPr>
              <w:widowControl w:val="0"/>
              <w:spacing w:line="400" w:lineRule="exact"/>
              <w:rPr>
                <w:rFonts w:ascii="宋体" w:hAnsi="宋体" w:cs="宋体"/>
                <w:sz w:val="18"/>
                <w:szCs w:val="18"/>
              </w:rPr>
            </w:pPr>
          </w:p>
        </w:tc>
        <w:tc>
          <w:tcPr>
            <w:tcW w:w="386" w:type="pct"/>
            <w:vAlign w:val="center"/>
          </w:tcPr>
          <w:p>
            <w:pPr>
              <w:widowControl w:val="0"/>
              <w:spacing w:line="400" w:lineRule="exact"/>
              <w:jc w:val="right"/>
              <w:rPr>
                <w:rFonts w:ascii="宋体" w:hAnsi="宋体" w:cs="宋体"/>
                <w:sz w:val="18"/>
                <w:szCs w:val="18"/>
              </w:rPr>
            </w:pPr>
          </w:p>
        </w:tc>
        <w:tc>
          <w:tcPr>
            <w:tcW w:w="335" w:type="pct"/>
            <w:vAlign w:val="center"/>
          </w:tcPr>
          <w:p>
            <w:pPr>
              <w:widowControl w:val="0"/>
              <w:spacing w:line="400" w:lineRule="exact"/>
              <w:rPr>
                <w:rFonts w:ascii="宋体" w:hAnsi="宋体" w:cs="宋体"/>
                <w:sz w:val="18"/>
                <w:szCs w:val="18"/>
              </w:rPr>
            </w:pPr>
          </w:p>
        </w:tc>
        <w:tc>
          <w:tcPr>
            <w:tcW w:w="551" w:type="pct"/>
            <w:vAlign w:val="center"/>
          </w:tcPr>
          <w:p>
            <w:pPr>
              <w:widowControl w:val="0"/>
              <w:spacing w:line="400" w:lineRule="exact"/>
              <w:rPr>
                <w:rFonts w:ascii="宋体" w:hAnsi="宋体" w:cs="宋体"/>
                <w:sz w:val="18"/>
                <w:szCs w:val="18"/>
              </w:rPr>
            </w:pPr>
          </w:p>
        </w:tc>
        <w:tc>
          <w:tcPr>
            <w:tcW w:w="270" w:type="pct"/>
            <w:vAlign w:val="center"/>
          </w:tcPr>
          <w:p>
            <w:pPr>
              <w:widowControl w:val="0"/>
              <w:spacing w:line="400" w:lineRule="exact"/>
              <w:jc w:val="center"/>
              <w:rPr>
                <w:rFonts w:ascii="宋体" w:hAnsi="宋体" w:cs="宋体"/>
                <w:sz w:val="18"/>
                <w:szCs w:val="18"/>
              </w:rPr>
            </w:pPr>
          </w:p>
        </w:tc>
        <w:tc>
          <w:tcPr>
            <w:tcW w:w="181" w:type="pct"/>
            <w:vAlign w:val="center"/>
          </w:tcPr>
          <w:p>
            <w:pPr>
              <w:widowControl w:val="0"/>
              <w:spacing w:line="400" w:lineRule="exact"/>
              <w:jc w:val="right"/>
              <w:rPr>
                <w:rFonts w:ascii="宋体" w:hAnsi="宋体" w:cs="宋体"/>
                <w:sz w:val="18"/>
                <w:szCs w:val="18"/>
              </w:rPr>
            </w:pPr>
          </w:p>
        </w:tc>
        <w:tc>
          <w:tcPr>
            <w:tcW w:w="236" w:type="pct"/>
            <w:vAlign w:val="center"/>
          </w:tcPr>
          <w:p>
            <w:pPr>
              <w:widowControl w:val="0"/>
              <w:spacing w:line="400" w:lineRule="exact"/>
              <w:jc w:val="right"/>
              <w:rPr>
                <w:rFonts w:ascii="宋体" w:hAnsi="宋体" w:cs="宋体"/>
                <w:sz w:val="18"/>
                <w:szCs w:val="18"/>
              </w:rPr>
            </w:pPr>
          </w:p>
        </w:tc>
        <w:tc>
          <w:tcPr>
            <w:tcW w:w="304" w:type="pct"/>
            <w:vAlign w:val="center"/>
          </w:tcPr>
          <w:p>
            <w:pPr>
              <w:widowControl w:val="0"/>
              <w:spacing w:line="400" w:lineRule="exact"/>
              <w:jc w:val="right"/>
              <w:rPr>
                <w:rFonts w:ascii="宋体" w:hAnsi="宋体" w:cs="宋体"/>
                <w:sz w:val="18"/>
                <w:szCs w:val="18"/>
              </w:rPr>
            </w:pPr>
          </w:p>
        </w:tc>
        <w:tc>
          <w:tcPr>
            <w:tcW w:w="462" w:type="pct"/>
            <w:vAlign w:val="center"/>
          </w:tcPr>
          <w:p>
            <w:pPr>
              <w:widowControl w:val="0"/>
              <w:spacing w:line="400" w:lineRule="exact"/>
              <w:jc w:val="right"/>
              <w:rPr>
                <w:rFonts w:ascii="宋体" w:hAnsi="宋体" w:cs="宋体"/>
                <w:sz w:val="18"/>
                <w:szCs w:val="18"/>
              </w:rPr>
            </w:pPr>
          </w:p>
        </w:tc>
        <w:tc>
          <w:tcPr>
            <w:tcW w:w="382" w:type="pct"/>
            <w:vAlign w:val="center"/>
          </w:tcPr>
          <w:p>
            <w:pPr>
              <w:widowControl w:val="0"/>
              <w:spacing w:line="400" w:lineRule="exact"/>
              <w:jc w:val="right"/>
              <w:rPr>
                <w:rFonts w:ascii="宋体" w:hAnsi="宋体" w:cs="宋体"/>
                <w:sz w:val="18"/>
                <w:szCs w:val="18"/>
              </w:rPr>
            </w:pPr>
          </w:p>
        </w:tc>
        <w:tc>
          <w:tcPr>
            <w:tcW w:w="360" w:type="pct"/>
            <w:vAlign w:val="center"/>
          </w:tcPr>
          <w:p>
            <w:pPr>
              <w:widowControl w:val="0"/>
              <w:spacing w:line="400" w:lineRule="exact"/>
              <w:jc w:val="right"/>
              <w:rPr>
                <w:rFonts w:ascii="宋体" w:hAnsi="宋体" w:cs="宋体"/>
                <w:sz w:val="18"/>
                <w:szCs w:val="18"/>
              </w:rPr>
            </w:pPr>
          </w:p>
        </w:tc>
        <w:tc>
          <w:tcPr>
            <w:tcW w:w="608" w:type="pct"/>
            <w:vAlign w:val="center"/>
          </w:tcPr>
          <w:p>
            <w:pPr>
              <w:widowControl w:val="0"/>
              <w:spacing w:line="400" w:lineRule="exact"/>
              <w:jc w:val="right"/>
              <w:rPr>
                <w:rFonts w:ascii="宋体" w:hAnsi="宋体" w:cs="宋体"/>
                <w:sz w:val="18"/>
                <w:szCs w:val="18"/>
              </w:rPr>
            </w:pPr>
          </w:p>
        </w:tc>
        <w:tc>
          <w:tcPr>
            <w:tcW w:w="623" w:type="pct"/>
            <w:vAlign w:val="center"/>
          </w:tcPr>
          <w:p>
            <w:pPr>
              <w:widowControl w:val="0"/>
              <w:spacing w:line="400" w:lineRule="exact"/>
              <w:jc w:val="right"/>
              <w:rPr>
                <w:rFonts w:ascii="宋体" w:hAnsi="宋体" w:cs="宋体"/>
                <w:sz w:val="18"/>
                <w:szCs w:val="18"/>
              </w:rPr>
            </w:pPr>
          </w:p>
        </w:tc>
      </w:tr>
    </w:tbl>
    <w:p>
      <w:pPr>
        <w:widowControl w:val="0"/>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eastAsia="zh-CN"/>
        </w:rPr>
        <w:t>本单位本年度</w:t>
      </w:r>
      <w:r>
        <w:rPr>
          <w:rFonts w:hint="eastAsia" w:ascii="宋体" w:hAnsi="宋体" w:eastAsia="宋体" w:cs="宋体"/>
          <w:sz w:val="21"/>
          <w:szCs w:val="21"/>
        </w:rPr>
        <w:t>无政府采购预算，</w:t>
      </w:r>
      <w:r>
        <w:rPr>
          <w:rFonts w:hint="eastAsia" w:ascii="宋体" w:hAnsi="宋体" w:eastAsia="宋体" w:cs="宋体"/>
          <w:sz w:val="21"/>
          <w:szCs w:val="21"/>
          <w:lang w:eastAsia="zh-CN"/>
        </w:rPr>
        <w:t>按要求以</w:t>
      </w:r>
      <w:r>
        <w:rPr>
          <w:rFonts w:hint="eastAsia" w:ascii="宋体" w:hAnsi="宋体" w:eastAsia="宋体" w:cs="宋体"/>
          <w:sz w:val="21"/>
          <w:szCs w:val="21"/>
        </w:rPr>
        <w:t>空表列示。</w:t>
      </w: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ind w:firstLine="640" w:firstLineChars="200"/>
        <w:rPr>
          <w:rFonts w:ascii="黑体" w:hAnsi="黑体" w:eastAsia="黑体" w:cs="黑体"/>
          <w:sz w:val="32"/>
          <w:szCs w:val="32"/>
        </w:rPr>
      </w:pPr>
      <w:r>
        <w:rPr>
          <w:rFonts w:hint="eastAsia" w:ascii="黑体" w:hAnsi="黑体" w:eastAsia="黑体" w:cs="黑体"/>
          <w:sz w:val="32"/>
          <w:szCs w:val="32"/>
        </w:rPr>
        <w:t>七、国有资产信息情况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年年底本单位国有资产总额24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万元，其中办公用房</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平米，价值221.46万元；车辆共计2辆，价值13.8万元，其他资产</w:t>
      </w:r>
      <w:r>
        <w:rPr>
          <w:rFonts w:hint="eastAsia" w:ascii="仿宋_GB2312" w:hAnsi="仿宋_GB2312" w:eastAsia="仿宋_GB2312" w:cs="仿宋_GB2312"/>
          <w:sz w:val="32"/>
          <w:szCs w:val="32"/>
          <w:lang w:val="en-US" w:eastAsia="zh-CN"/>
        </w:rPr>
        <w:t>13.12</w:t>
      </w:r>
      <w:r>
        <w:rPr>
          <w:rFonts w:hint="eastAsia" w:ascii="仿宋_GB2312" w:hAnsi="仿宋_GB2312" w:eastAsia="仿宋_GB2312" w:cs="仿宋_GB2312"/>
          <w:sz w:val="32"/>
          <w:szCs w:val="32"/>
        </w:rPr>
        <w:t>万元。</w:t>
      </w:r>
    </w:p>
    <w:p>
      <w:pPr>
        <w:spacing w:line="5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年我部门无购置固定资产情况。</w:t>
      </w:r>
    </w:p>
    <w:p>
      <w:pPr>
        <w:pStyle w:val="7"/>
        <w:shd w:val="clear" w:color="auto" w:fill="FFFFFF"/>
        <w:spacing w:before="0" w:beforeAutospacing="0" w:after="0" w:afterAutospacing="0" w:line="520" w:lineRule="exact"/>
        <w:jc w:val="center"/>
        <w:rPr>
          <w:rFonts w:ascii="黑体" w:hAnsi="黑体" w:eastAsia="黑体" w:cs="黑体"/>
          <w:sz w:val="32"/>
          <w:szCs w:val="32"/>
        </w:rPr>
      </w:pPr>
      <w:r>
        <w:rPr>
          <w:rFonts w:hint="eastAsia" w:ascii="黑体" w:hAnsi="黑体" w:eastAsia="黑体" w:cs="黑体"/>
          <w:sz w:val="32"/>
          <w:szCs w:val="32"/>
        </w:rPr>
        <w:t>固定资产占用情况表</w:t>
      </w:r>
    </w:p>
    <w:p>
      <w:pPr>
        <w:pStyle w:val="7"/>
        <w:shd w:val="clear" w:color="auto" w:fill="FFFFFF"/>
        <w:spacing w:before="0" w:beforeAutospacing="0" w:after="0" w:afterAutospacing="0" w:line="520" w:lineRule="exact"/>
        <w:ind w:firstLine="640"/>
        <w:rPr>
          <w:rFonts w:eastAsia="宋体"/>
          <w:sz w:val="21"/>
          <w:szCs w:val="21"/>
        </w:rPr>
      </w:pPr>
      <w:r>
        <w:rPr>
          <w:rFonts w:hint="eastAsia" w:ascii="仿宋_GB2312" w:hAnsi="仿宋_GB2312" w:eastAsia="仿宋_GB2312" w:cs="仿宋_GB2312"/>
          <w:sz w:val="32"/>
          <w:szCs w:val="32"/>
        </w:rPr>
        <w:t xml:space="preserve">                          </w:t>
      </w:r>
      <w:r>
        <w:rPr>
          <w:rFonts w:hint="eastAsia" w:eastAsia="宋体"/>
          <w:sz w:val="21"/>
          <w:szCs w:val="21"/>
          <w:lang w:eastAsia="zh-CN"/>
        </w:rPr>
        <w:t xml:space="preserve">                </w:t>
      </w:r>
      <w:r>
        <w:rPr>
          <w:rFonts w:hint="eastAsia" w:eastAsia="宋体"/>
          <w:sz w:val="21"/>
          <w:szCs w:val="21"/>
        </w:rPr>
        <w:t xml:space="preserve"> </w:t>
      </w:r>
      <w:r>
        <w:rPr>
          <w:rFonts w:hint="eastAsia" w:eastAsia="宋体"/>
          <w:bCs/>
          <w:color w:val="000000"/>
          <w:sz w:val="21"/>
          <w:szCs w:val="21"/>
        </w:rPr>
        <w:t>截止时间：20</w:t>
      </w:r>
      <w:r>
        <w:rPr>
          <w:rFonts w:hint="eastAsia" w:eastAsia="宋体"/>
          <w:bCs/>
          <w:color w:val="000000"/>
          <w:sz w:val="21"/>
          <w:szCs w:val="21"/>
          <w:lang w:eastAsia="zh-CN"/>
        </w:rPr>
        <w:t>21</w:t>
      </w:r>
      <w:r>
        <w:rPr>
          <w:rFonts w:hint="eastAsia" w:eastAsia="宋体"/>
          <w:bCs/>
          <w:color w:val="000000"/>
          <w:sz w:val="21"/>
          <w:szCs w:val="21"/>
        </w:rPr>
        <w:t>年12月31日</w:t>
      </w:r>
      <w:r>
        <w:rPr>
          <w:rFonts w:hint="eastAsia" w:eastAsia="宋体"/>
          <w:sz w:val="21"/>
          <w:szCs w:val="21"/>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widowControl/>
              <w:jc w:val="center"/>
              <w:rPr>
                <w:rFonts w:ascii="宋体" w:hAnsi="宋体" w:eastAsia="宋体" w:cs="宋体"/>
                <w:sz w:val="21"/>
                <w:szCs w:val="21"/>
              </w:rPr>
            </w:pPr>
            <w:r>
              <w:rPr>
                <w:rFonts w:hint="eastAsia" w:ascii="宋体" w:hAnsi="宋体" w:cs="宋体"/>
                <w:b/>
                <w:bCs/>
                <w:color w:val="000000"/>
                <w:kern w:val="0"/>
                <w:szCs w:val="21"/>
              </w:rPr>
              <w:t>项　　目</w:t>
            </w:r>
          </w:p>
        </w:tc>
        <w:tc>
          <w:tcPr>
            <w:tcW w:w="1304" w:type="dxa"/>
            <w:vAlign w:val="center"/>
          </w:tcPr>
          <w:p>
            <w:pPr>
              <w:widowControl/>
              <w:jc w:val="center"/>
              <w:rPr>
                <w:rFonts w:ascii="宋体" w:hAnsi="宋体" w:eastAsia="宋体" w:cs="宋体"/>
                <w:sz w:val="21"/>
                <w:szCs w:val="21"/>
              </w:rPr>
            </w:pPr>
            <w:r>
              <w:rPr>
                <w:rFonts w:hint="eastAsia" w:ascii="宋体" w:hAnsi="宋体" w:cs="宋体"/>
                <w:b/>
                <w:bCs/>
                <w:color w:val="000000"/>
                <w:kern w:val="0"/>
                <w:szCs w:val="21"/>
              </w:rPr>
              <w:t>数量</w:t>
            </w:r>
          </w:p>
        </w:tc>
        <w:tc>
          <w:tcPr>
            <w:tcW w:w="3631" w:type="dxa"/>
            <w:vAlign w:val="center"/>
          </w:tcPr>
          <w:p>
            <w:pPr>
              <w:widowControl/>
              <w:jc w:val="center"/>
              <w:rPr>
                <w:rFonts w:ascii="宋体" w:hAnsi="宋体" w:eastAsia="宋体" w:cs="宋体"/>
                <w:sz w:val="21"/>
                <w:szCs w:val="21"/>
              </w:rPr>
            </w:pPr>
            <w:r>
              <w:rPr>
                <w:rFonts w:hint="eastAsia" w:ascii="宋体" w:hAnsi="宋体" w:cs="宋体"/>
                <w:b/>
                <w:bCs/>
                <w:color w:val="000000"/>
                <w:kern w:val="0"/>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widowControl/>
              <w:jc w:val="center"/>
              <w:rPr>
                <w:rFonts w:ascii="宋体" w:hAnsi="宋体" w:eastAsia="宋体" w:cs="宋体"/>
                <w:sz w:val="21"/>
                <w:szCs w:val="21"/>
              </w:rPr>
            </w:pPr>
            <w:r>
              <w:rPr>
                <w:rFonts w:hint="eastAsia" w:ascii="宋体" w:hAnsi="宋体" w:cs="宋体"/>
                <w:b/>
                <w:bCs/>
                <w:color w:val="000000"/>
                <w:kern w:val="0"/>
                <w:szCs w:val="21"/>
              </w:rPr>
              <w:t>固定资产总额</w:t>
            </w:r>
          </w:p>
        </w:tc>
        <w:tc>
          <w:tcPr>
            <w:tcW w:w="1304" w:type="dxa"/>
            <w:vAlign w:val="center"/>
          </w:tcPr>
          <w:p>
            <w:pPr>
              <w:widowControl/>
              <w:jc w:val="center"/>
              <w:rPr>
                <w:rFonts w:ascii="宋体" w:hAnsi="宋体" w:eastAsia="宋体" w:cs="宋体"/>
                <w:sz w:val="21"/>
                <w:szCs w:val="21"/>
              </w:rPr>
            </w:pPr>
            <w:r>
              <w:rPr>
                <w:rFonts w:hint="eastAsia" w:ascii="宋体" w:hAnsi="宋体" w:cs="宋体"/>
                <w:color w:val="000000"/>
                <w:kern w:val="0"/>
                <w:szCs w:val="21"/>
              </w:rPr>
              <w:t>—</w:t>
            </w:r>
          </w:p>
        </w:tc>
        <w:tc>
          <w:tcPr>
            <w:tcW w:w="3631" w:type="dxa"/>
            <w:vAlign w:val="top"/>
          </w:tcPr>
          <w:p>
            <w:pPr>
              <w:widowControl/>
              <w:jc w:val="center"/>
              <w:rPr>
                <w:rFonts w:ascii="宋体" w:hAnsi="宋体" w:eastAsia="宋体" w:cs="宋体"/>
                <w:sz w:val="21"/>
                <w:szCs w:val="21"/>
                <w:lang w:eastAsia="zh-CN"/>
              </w:rPr>
            </w:pPr>
            <w:r>
              <w:rPr>
                <w:rFonts w:hint="default" w:ascii="宋体" w:hAnsi="宋体" w:eastAsia="宋体" w:cs="宋体"/>
                <w:color w:val="000000"/>
                <w:kern w:val="0"/>
                <w:szCs w:val="21"/>
                <w:lang w:val="en-US" w:eastAsia="zh-CN"/>
              </w:rPr>
              <w:t>248.38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widowControl/>
              <w:jc w:val="left"/>
              <w:rPr>
                <w:rFonts w:ascii="宋体" w:hAnsi="宋体" w:eastAsia="宋体" w:cs="宋体"/>
                <w:sz w:val="21"/>
                <w:szCs w:val="21"/>
              </w:rPr>
            </w:pPr>
            <w:r>
              <w:rPr>
                <w:rFonts w:hint="eastAsia" w:ascii="宋体" w:hAnsi="宋体" w:cs="宋体"/>
                <w:color w:val="000000"/>
                <w:kern w:val="0"/>
                <w:szCs w:val="21"/>
              </w:rPr>
              <w:t xml:space="preserve">  1、房屋（平方米）</w:t>
            </w:r>
          </w:p>
        </w:tc>
        <w:tc>
          <w:tcPr>
            <w:tcW w:w="1304" w:type="dxa"/>
            <w:vAlign w:val="center"/>
          </w:tcPr>
          <w:p>
            <w:pPr>
              <w:widowControl/>
              <w:jc w:val="center"/>
              <w:rPr>
                <w:rFonts w:ascii="宋体" w:hAnsi="宋体" w:eastAsia="宋体" w:cs="宋体"/>
                <w:sz w:val="21"/>
                <w:szCs w:val="21"/>
                <w:lang w:eastAsia="zh-CN"/>
              </w:rPr>
            </w:pPr>
            <w:r>
              <w:rPr>
                <w:rFonts w:hint="eastAsia" w:ascii="宋体" w:hAnsi="宋体" w:cs="宋体"/>
                <w:szCs w:val="21"/>
              </w:rPr>
              <w:t>1800</w:t>
            </w:r>
          </w:p>
        </w:tc>
        <w:tc>
          <w:tcPr>
            <w:tcW w:w="3631" w:type="dxa"/>
            <w:vAlign w:val="top"/>
          </w:tcPr>
          <w:p>
            <w:pPr>
              <w:widowControl/>
              <w:jc w:val="center"/>
              <w:rPr>
                <w:rFonts w:ascii="宋体" w:hAnsi="宋体" w:eastAsia="宋体" w:cs="宋体"/>
                <w:sz w:val="21"/>
                <w:szCs w:val="21"/>
                <w:lang w:eastAsia="zh-CN"/>
              </w:rPr>
            </w:pPr>
            <w:r>
              <w:rPr>
                <w:rFonts w:hint="default" w:ascii="宋体" w:hAnsi="宋体" w:eastAsia="宋体" w:cs="宋体"/>
                <w:color w:val="000000"/>
                <w:kern w:val="0"/>
                <w:szCs w:val="21"/>
                <w:lang w:val="en-US" w:eastAsia="zh-CN"/>
              </w:rPr>
              <w:t>221.46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jc w:val="left"/>
              <w:rPr>
                <w:rFonts w:ascii="宋体" w:hAnsi="宋体" w:eastAsia="宋体" w:cs="宋体"/>
                <w:sz w:val="21"/>
                <w:szCs w:val="21"/>
              </w:rPr>
            </w:pPr>
            <w:r>
              <w:rPr>
                <w:rFonts w:hint="eastAsia" w:ascii="宋体" w:hAnsi="宋体" w:cs="宋体"/>
                <w:color w:val="000000"/>
                <w:kern w:val="0"/>
                <w:szCs w:val="21"/>
              </w:rPr>
              <w:t xml:space="preserve">   其中：办公用房（平方米）</w:t>
            </w:r>
          </w:p>
        </w:tc>
        <w:tc>
          <w:tcPr>
            <w:tcW w:w="1304" w:type="dxa"/>
            <w:vAlign w:val="center"/>
          </w:tcPr>
          <w:p>
            <w:pPr>
              <w:jc w:val="center"/>
              <w:rPr>
                <w:rFonts w:ascii="宋体" w:hAnsi="宋体" w:eastAsia="宋体" w:cs="宋体"/>
                <w:sz w:val="21"/>
                <w:szCs w:val="21"/>
                <w:lang w:eastAsia="zh-CN"/>
              </w:rPr>
            </w:pPr>
            <w:r>
              <w:rPr>
                <w:rFonts w:hint="eastAsia" w:ascii="宋体" w:hAnsi="宋体" w:cs="宋体"/>
                <w:szCs w:val="21"/>
                <w:lang w:val="en-US" w:eastAsia="zh-CN"/>
              </w:rPr>
              <w:t>1500</w:t>
            </w:r>
          </w:p>
        </w:tc>
        <w:tc>
          <w:tcPr>
            <w:tcW w:w="3631" w:type="dxa"/>
            <w:vAlign w:val="top"/>
          </w:tcPr>
          <w:p>
            <w:pPr>
              <w:widowControl/>
              <w:jc w:val="center"/>
              <w:rPr>
                <w:rFonts w:ascii="宋体" w:hAnsi="宋体" w:eastAsia="宋体" w:cs="宋体"/>
                <w:sz w:val="21"/>
                <w:szCs w:val="21"/>
              </w:rPr>
            </w:pPr>
            <w:r>
              <w:rPr>
                <w:rFonts w:hint="default" w:ascii="宋体" w:hAnsi="宋体" w:eastAsia="宋体" w:cs="宋体"/>
                <w:color w:val="000000"/>
                <w:kern w:val="0"/>
                <w:szCs w:val="21"/>
                <w:lang w:val="en-US" w:eastAsia="zh-CN"/>
              </w:rPr>
              <w:t>221.46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widowControl/>
              <w:jc w:val="left"/>
              <w:rPr>
                <w:rFonts w:ascii="宋体" w:hAnsi="宋体" w:eastAsia="宋体" w:cs="宋体"/>
                <w:sz w:val="21"/>
                <w:szCs w:val="21"/>
              </w:rPr>
            </w:pPr>
            <w:r>
              <w:rPr>
                <w:rFonts w:hint="eastAsia" w:ascii="宋体" w:hAnsi="宋体" w:cs="宋体"/>
                <w:color w:val="000000"/>
                <w:kern w:val="0"/>
                <w:szCs w:val="21"/>
              </w:rPr>
              <w:t xml:space="preserve">  2、车辆（台、辆）</w:t>
            </w:r>
          </w:p>
        </w:tc>
        <w:tc>
          <w:tcPr>
            <w:tcW w:w="1304" w:type="dxa"/>
            <w:vAlign w:val="center"/>
          </w:tcPr>
          <w:p>
            <w:pPr>
              <w:widowControl/>
              <w:jc w:val="center"/>
              <w:rPr>
                <w:rFonts w:ascii="宋体" w:hAnsi="宋体" w:eastAsia="宋体" w:cs="宋体"/>
                <w:sz w:val="21"/>
                <w:szCs w:val="21"/>
                <w:lang w:eastAsia="zh-CN"/>
              </w:rPr>
            </w:pPr>
            <w:r>
              <w:rPr>
                <w:rFonts w:hint="eastAsia" w:ascii="宋体" w:hAnsi="宋体" w:cs="宋体"/>
                <w:color w:val="000000"/>
                <w:kern w:val="0"/>
                <w:szCs w:val="21"/>
              </w:rPr>
              <w:t>2</w:t>
            </w:r>
          </w:p>
        </w:tc>
        <w:tc>
          <w:tcPr>
            <w:tcW w:w="3631" w:type="dxa"/>
            <w:vAlign w:val="top"/>
          </w:tcPr>
          <w:p>
            <w:pPr>
              <w:widowControl/>
              <w:jc w:val="center"/>
              <w:rPr>
                <w:rFonts w:ascii="宋体" w:hAnsi="宋体" w:eastAsia="宋体" w:cs="宋体"/>
                <w:sz w:val="21"/>
                <w:szCs w:val="21"/>
                <w:lang w:eastAsia="zh-CN"/>
              </w:rPr>
            </w:pPr>
            <w:r>
              <w:rPr>
                <w:rFonts w:hint="default" w:ascii="宋体" w:hAnsi="宋体" w:eastAsia="宋体" w:cs="宋体"/>
                <w:color w:val="000000"/>
                <w:kern w:val="0"/>
                <w:szCs w:val="21"/>
                <w:lang w:val="en-US" w:eastAsia="zh-CN"/>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widowControl/>
              <w:jc w:val="left"/>
              <w:rPr>
                <w:rFonts w:ascii="宋体" w:hAnsi="宋体" w:eastAsia="宋体" w:cs="宋体"/>
                <w:sz w:val="21"/>
                <w:szCs w:val="21"/>
              </w:rPr>
            </w:pPr>
            <w:r>
              <w:rPr>
                <w:rFonts w:hint="eastAsia" w:ascii="宋体" w:hAnsi="宋体" w:cs="宋体"/>
                <w:color w:val="000000"/>
                <w:kern w:val="0"/>
                <w:szCs w:val="21"/>
              </w:rPr>
              <w:t xml:space="preserve">  3、单价在20万元以上的设备</w:t>
            </w:r>
          </w:p>
        </w:tc>
        <w:tc>
          <w:tcPr>
            <w:tcW w:w="1304" w:type="dxa"/>
            <w:vAlign w:val="center"/>
          </w:tcPr>
          <w:p>
            <w:pPr>
              <w:widowControl/>
              <w:jc w:val="center"/>
              <w:rPr>
                <w:rFonts w:ascii="宋体" w:hAnsi="宋体" w:eastAsia="宋体" w:cs="宋体"/>
                <w:sz w:val="21"/>
                <w:szCs w:val="21"/>
              </w:rPr>
            </w:pPr>
            <w:r>
              <w:rPr>
                <w:rFonts w:hint="eastAsia" w:ascii="宋体" w:hAnsi="宋体" w:cs="宋体"/>
                <w:color w:val="000000"/>
                <w:kern w:val="0"/>
                <w:szCs w:val="21"/>
              </w:rPr>
              <w:t>—</w:t>
            </w:r>
          </w:p>
        </w:tc>
        <w:tc>
          <w:tcPr>
            <w:tcW w:w="3631" w:type="dxa"/>
            <w:vAlign w:val="top"/>
          </w:tcPr>
          <w:p>
            <w:pPr>
              <w:widowControl/>
              <w:jc w:val="center"/>
              <w:rPr>
                <w:rFonts w:ascii="宋体" w:hAnsi="宋体" w:eastAsia="宋体" w:cs="宋体"/>
                <w:sz w:val="21"/>
                <w:szCs w:val="21"/>
              </w:rPr>
            </w:pPr>
            <w:r>
              <w:rPr>
                <w:rFonts w:hint="eastAsia" w:ascii="宋体" w:hAnsi="宋体" w:eastAsia="宋体" w:cs="宋体"/>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jc w:val="left"/>
              <w:rPr>
                <w:rFonts w:ascii="宋体" w:hAnsi="宋体" w:eastAsia="宋体" w:cs="宋体"/>
                <w:sz w:val="21"/>
                <w:szCs w:val="21"/>
              </w:rPr>
            </w:pPr>
            <w:r>
              <w:rPr>
                <w:rFonts w:hint="eastAsia" w:ascii="宋体" w:hAnsi="宋体" w:cs="宋体"/>
                <w:color w:val="000000"/>
                <w:kern w:val="0"/>
                <w:szCs w:val="21"/>
              </w:rPr>
              <w:t xml:space="preserve">  4、其他固定资产</w:t>
            </w:r>
          </w:p>
        </w:tc>
        <w:tc>
          <w:tcPr>
            <w:tcW w:w="1304" w:type="dxa"/>
            <w:vAlign w:val="center"/>
          </w:tcPr>
          <w:p>
            <w:pPr>
              <w:jc w:val="center"/>
              <w:rPr>
                <w:rFonts w:ascii="宋体" w:hAnsi="宋体" w:eastAsia="宋体" w:cs="宋体"/>
                <w:sz w:val="21"/>
                <w:szCs w:val="21"/>
              </w:rPr>
            </w:pPr>
            <w:r>
              <w:rPr>
                <w:rFonts w:hint="eastAsia" w:ascii="宋体" w:hAnsi="宋体" w:cs="宋体"/>
                <w:color w:val="000000"/>
                <w:kern w:val="0"/>
                <w:szCs w:val="21"/>
                <w:lang w:val="en-US" w:eastAsia="zh-CN"/>
              </w:rPr>
              <w:t>135</w:t>
            </w:r>
          </w:p>
        </w:tc>
        <w:tc>
          <w:tcPr>
            <w:tcW w:w="3631" w:type="dxa"/>
            <w:vAlign w:val="top"/>
          </w:tcPr>
          <w:p>
            <w:pPr>
              <w:widowControl/>
              <w:jc w:val="center"/>
              <w:rPr>
                <w:rFonts w:hint="default" w:ascii="宋体" w:hAnsi="宋体" w:eastAsia="宋体" w:cs="宋体"/>
                <w:sz w:val="21"/>
                <w:szCs w:val="21"/>
                <w:lang w:val="en-US" w:eastAsia="zh-CN"/>
              </w:rPr>
            </w:pPr>
            <w:r>
              <w:rPr>
                <w:rFonts w:hint="default" w:ascii="宋体" w:hAnsi="宋体" w:eastAsia="宋体" w:cs="宋体"/>
                <w:color w:val="000000"/>
                <w:kern w:val="0"/>
                <w:szCs w:val="21"/>
                <w:lang w:val="en-US" w:eastAsia="zh-CN"/>
              </w:rPr>
              <w:t>13.12</w:t>
            </w:r>
          </w:p>
        </w:tc>
      </w:tr>
    </w:tbl>
    <w:p>
      <w:pPr>
        <w:spacing w:line="500" w:lineRule="exact"/>
        <w:ind w:firstLine="560"/>
        <w:rPr>
          <w:rFonts w:eastAsia="方正仿宋_GBK"/>
          <w:color w:val="000000"/>
          <w:sz w:val="28"/>
        </w:rPr>
      </w:pPr>
    </w:p>
    <w:p>
      <w:pPr>
        <w:rPr>
          <w:rFonts w:eastAsia="宋体"/>
          <w:lang w:eastAsia="zh-CN"/>
        </w:rPr>
      </w:pPr>
    </w:p>
    <w:p>
      <w:pPr>
        <w:spacing w:before="10" w:after="10"/>
        <w:ind w:firstLine="640"/>
        <w:outlineLvl w:val="5"/>
        <w:rPr>
          <w:sz w:val="32"/>
          <w:szCs w:val="32"/>
        </w:rPr>
      </w:pP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名词解释</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sz w:val="32"/>
          <w:szCs w:val="32"/>
        </w:rPr>
      </w:pPr>
      <w:r>
        <w:rPr>
          <w:rFonts w:hint="eastAsia" w:ascii="黑体" w:hAnsi="黑体" w:eastAsia="黑体" w:cs="黑体"/>
          <w:color w:val="000000"/>
          <w:sz w:val="32"/>
          <w:szCs w:val="32"/>
        </w:rPr>
        <w:t>九、其他需要说明的事项</w:t>
      </w:r>
    </w:p>
    <w:p>
      <w:pPr>
        <w:spacing w:line="500" w:lineRule="exact"/>
        <w:ind w:firstLine="560"/>
        <w:rPr>
          <w:rFonts w:ascii="仿宋" w:hAnsi="仿宋" w:eastAsia="仿宋" w:cs="仿宋"/>
          <w:color w:val="000000"/>
          <w:sz w:val="32"/>
          <w:szCs w:val="32"/>
          <w:lang w:eastAsia="zh-CN"/>
        </w:rPr>
      </w:pPr>
      <w:r>
        <w:rPr>
          <w:rFonts w:hint="eastAsia" w:ascii="仿宋" w:hAnsi="仿宋" w:eastAsia="仿宋" w:cs="仿宋"/>
          <w:color w:val="000000"/>
          <w:sz w:val="32"/>
          <w:szCs w:val="32"/>
          <w:lang w:eastAsia="zh-CN"/>
        </w:rPr>
        <w:t>我</w:t>
      </w:r>
      <w:r>
        <w:rPr>
          <w:rFonts w:hint="eastAsia" w:ascii="仿宋" w:hAnsi="仿宋" w:eastAsia="仿宋" w:cs="仿宋"/>
          <w:color w:val="000000"/>
          <w:sz w:val="32"/>
          <w:szCs w:val="32"/>
        </w:rPr>
        <w:t>单位无其他需要说明的事项</w:t>
      </w:r>
      <w:r>
        <w:rPr>
          <w:rFonts w:hint="eastAsia" w:ascii="仿宋" w:hAnsi="仿宋" w:eastAsia="仿宋" w:cs="仿宋"/>
          <w:color w:val="000000"/>
          <w:sz w:val="32"/>
          <w:szCs w:val="32"/>
          <w:lang w:eastAsia="zh-CN"/>
        </w:rPr>
        <w:t>。</w:t>
      </w:r>
    </w:p>
    <w:p>
      <w:pPr>
        <w:spacing w:line="500" w:lineRule="exact"/>
        <w:ind w:firstLine="560"/>
        <w:rPr>
          <w:rFonts w:ascii="黑体" w:hAnsi="黑体" w:eastAsia="黑体" w:cs="黑体"/>
          <w:color w:val="000000"/>
          <w:sz w:val="32"/>
        </w:rPr>
      </w:pPr>
    </w:p>
    <w:p>
      <w:pPr>
        <w:spacing w:line="500" w:lineRule="exact"/>
        <w:ind w:firstLine="560"/>
        <w:rPr>
          <w:rFonts w:ascii="黑体" w:hAnsi="黑体" w:eastAsia="黑体" w:cs="黑体"/>
          <w:color w:val="000000"/>
          <w:sz w:val="32"/>
        </w:rPr>
      </w:pPr>
    </w:p>
    <w:p>
      <w:pPr>
        <w:spacing w:line="500" w:lineRule="exact"/>
        <w:ind w:firstLine="560"/>
        <w:rPr>
          <w:rFonts w:ascii="黑体" w:hAnsi="黑体" w:eastAsia="黑体" w:cs="黑体"/>
          <w:color w:val="000000"/>
          <w:sz w:val="32"/>
        </w:rPr>
      </w:pPr>
    </w:p>
    <w:p>
      <w:pPr>
        <w:spacing w:line="500" w:lineRule="exact"/>
        <w:ind w:firstLine="560"/>
        <w:rPr>
          <w:rFonts w:ascii="黑体" w:hAnsi="黑体" w:eastAsia="黑体" w:cs="黑体"/>
          <w:color w:val="000000"/>
          <w:sz w:val="32"/>
          <w:lang w:eastAsia="zh-CN"/>
        </w:rPr>
        <w:sectPr>
          <w:footerReference r:id="rId8" w:type="default"/>
          <w:pgSz w:w="16840" w:h="11900" w:orient="landscape"/>
          <w:pgMar w:top="1361" w:right="1021" w:bottom="1134" w:left="1021" w:header="720" w:footer="720" w:gutter="0"/>
          <w:cols w:space="720" w:num="1"/>
        </w:sectPr>
      </w:pPr>
    </w:p>
    <w:p/>
    <w:sectPr>
      <w:pgSz w:w="16840" w:h="11900" w:orient="landscape"/>
      <w:pgMar w:top="1361" w:right="1020" w:bottom="1361"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itka Banner">
    <w:panose1 w:val="00000000000000000000"/>
    <w:charset w:val="00"/>
    <w:family w:val="auto"/>
    <w:pitch w:val="default"/>
    <w:sig w:usb0="A00002EF" w:usb1="4000204B" w:usb2="00000000" w:usb3="00000000" w:csb0="2000019F" w:csb1="00000000"/>
  </w:font>
  <w:font w:name="Sitka Banner Semibold">
    <w:panose1 w:val="00000000000000000000"/>
    <w:charset w:val="00"/>
    <w:family w:val="auto"/>
    <w:pitch w:val="default"/>
    <w:sig w:usb0="A00002EF" w:usb1="4000204B" w:usb2="00000000" w:usb3="00000000" w:csb0="2000019F" w:csb1="00000000"/>
  </w:font>
  <w:font w:name="Segoe UI Variable Text Light">
    <w:panose1 w:val="00000000000000000000"/>
    <w:charset w:val="00"/>
    <w:family w:val="auto"/>
    <w:pitch w:val="default"/>
    <w:sig w:usb0="A00002FF" w:usb1="0000000B" w:usb2="00000000" w:usb3="00000000" w:csb0="2000019F" w:csb1="00000000"/>
  </w:font>
  <w:font w:name="Segoe MDL2 Assets">
    <w:panose1 w:val="050A0102010101010101"/>
    <w:charset w:val="00"/>
    <w:family w:val="auto"/>
    <w:pitch w:val="default"/>
    <w:sig w:usb0="00000000" w:usb1="1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A73E9"/>
    <w:multiLevelType w:val="singleLevel"/>
    <w:tmpl w:val="A01A73E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NzA5MWVmMGRhYmFhN2M1M2FlNGZiZWQ3YjlmOTQifQ=="/>
  </w:docVars>
  <w:rsids>
    <w:rsidRoot w:val="00E46C0E"/>
    <w:rsid w:val="00357449"/>
    <w:rsid w:val="006E014C"/>
    <w:rsid w:val="0097332D"/>
    <w:rsid w:val="00B577EE"/>
    <w:rsid w:val="00BD00F6"/>
    <w:rsid w:val="00D314E2"/>
    <w:rsid w:val="00E46C0E"/>
    <w:rsid w:val="00FB3E8D"/>
    <w:rsid w:val="015A0FD4"/>
    <w:rsid w:val="0876036B"/>
    <w:rsid w:val="0C853DCB"/>
    <w:rsid w:val="0F815D42"/>
    <w:rsid w:val="13B136FE"/>
    <w:rsid w:val="1DAE3172"/>
    <w:rsid w:val="1E1D38F7"/>
    <w:rsid w:val="1E3B5A75"/>
    <w:rsid w:val="1FC527B5"/>
    <w:rsid w:val="24E33C29"/>
    <w:rsid w:val="2C7C232E"/>
    <w:rsid w:val="2DDB14E6"/>
    <w:rsid w:val="38764AB1"/>
    <w:rsid w:val="452543D8"/>
    <w:rsid w:val="48767E82"/>
    <w:rsid w:val="641104BB"/>
    <w:rsid w:val="732B31DB"/>
    <w:rsid w:val="744D3C1A"/>
    <w:rsid w:val="78CC1040"/>
    <w:rsid w:val="790277BE"/>
    <w:rsid w:val="79F74E69"/>
    <w:rsid w:val="7C066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toc 1"/>
    <w:basedOn w:val="1"/>
    <w:next w:val="1"/>
    <w:qFormat/>
    <w:uiPriority w:val="0"/>
    <w:pPr>
      <w:spacing w:before="120"/>
    </w:pPr>
    <w:rPr>
      <w:rFonts w:eastAsia="方正仿宋_GBK" w:cs="Times New Roman"/>
      <w:color w:val="000000"/>
      <w:sz w:val="28"/>
    </w:rPr>
  </w:style>
  <w:style w:type="paragraph" w:styleId="5">
    <w:name w:val="toc 4"/>
    <w:basedOn w:val="1"/>
    <w:next w:val="1"/>
    <w:qFormat/>
    <w:uiPriority w:val="0"/>
    <w:pPr>
      <w:ind w:left="720"/>
    </w:pPr>
  </w:style>
  <w:style w:type="paragraph" w:styleId="6">
    <w:name w:val="toc 2"/>
    <w:basedOn w:val="1"/>
    <w:next w:val="1"/>
    <w:autoRedefine/>
    <w:qFormat/>
    <w:uiPriority w:val="0"/>
    <w:pPr>
      <w:ind w:left="240"/>
    </w:pPr>
  </w:style>
  <w:style w:type="paragraph" w:styleId="7">
    <w:name w:val="Normal (Web)"/>
    <w:basedOn w:val="1"/>
    <w:autoRedefine/>
    <w:qFormat/>
    <w:uiPriority w:val="0"/>
    <w:pPr>
      <w:spacing w:before="100" w:beforeAutospacing="1" w:after="100" w:afterAutospacing="1"/>
    </w:pPr>
    <w:rPr>
      <w:rFonts w:ascii="宋体" w:hAnsi="宋体" w:cs="宋体"/>
    </w:r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12">
    <w:name w:val="单元格样式23"/>
    <w:basedOn w:val="1"/>
    <w:autoRedefine/>
    <w:qFormat/>
    <w:uiPriority w:val="0"/>
    <w:pPr>
      <w:jc w:val="right"/>
    </w:pPr>
    <w:rPr>
      <w:rFonts w:ascii="方正书宋_GBK" w:hAnsi="方正书宋_GBK" w:eastAsia="方正书宋_GBK" w:cs="方正书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3">
    <w:name w:val="单元格样式22"/>
    <w:basedOn w:val="1"/>
    <w:qFormat/>
    <w:uiPriority w:val="99"/>
    <w:pPr>
      <w:jc w:val="right"/>
    </w:pPr>
    <w:rPr>
      <w:rFonts w:ascii="方正小标宋_GBK" w:hAnsi="方正小标宋_GBK" w:eastAsia="方正小标宋_GBK" w:cs="方正小标宋_GBK"/>
    </w:rPr>
  </w:style>
  <w:style w:type="paragraph" w:customStyle="1" w:styleId="24">
    <w:name w:val="单元格样式21"/>
    <w:basedOn w:val="1"/>
    <w:autoRedefine/>
    <w:qFormat/>
    <w:uiPriority w:val="99"/>
    <w:pPr>
      <w:jc w:val="center"/>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2022-02-16T11:37:53Z</dcterms:created>
  <dcterms:modified xsi:type="dcterms:W3CDTF">2022-02-16T03:37:52Z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2022-02-16T11:37:54Z</dcterms:created>
  <dcterms:modified xsi:type="dcterms:W3CDTF">2022-02-16T03:37:54Z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2022-02-16T11:37:55Z</dcterms:created>
  <dcterms:modified xsi:type="dcterms:W3CDTF">2022-02-16T03:37:55Z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DE4A66E-BA47-40E7-B527-C0ADCA855841}">
  <ds:schemaRefs/>
</ds:datastoreItem>
</file>

<file path=customXml/itemProps11.xml><?xml version="1.0" encoding="utf-8"?>
<ds:datastoreItem xmlns:ds="http://schemas.openxmlformats.org/officeDocument/2006/customXml" ds:itemID="{62322736-FFFE-4FE0-97BD-372AFFDFFA0F}">
  <ds:schemaRefs/>
</ds:datastoreItem>
</file>

<file path=customXml/itemProps2.xml><?xml version="1.0" encoding="utf-8"?>
<ds:datastoreItem xmlns:ds="http://schemas.openxmlformats.org/officeDocument/2006/customXml" ds:itemID="{68703823-8D82-44ED-B341-33C0955819F4}">
  <ds:schemaRefs/>
</ds:datastoreItem>
</file>

<file path=customXml/itemProps3.xml><?xml version="1.0" encoding="utf-8"?>
<ds:datastoreItem xmlns:ds="http://schemas.openxmlformats.org/officeDocument/2006/customXml" ds:itemID="{23B4928D-1BF5-4EC5-955F-127402897BDB}">
  <ds:schemaRefs/>
</ds:datastoreItem>
</file>

<file path=customXml/itemProps4.xml><?xml version="1.0" encoding="utf-8"?>
<ds:datastoreItem xmlns:ds="http://schemas.openxmlformats.org/officeDocument/2006/customXml" ds:itemID="{C946E644-B2A2-4BD9-8D93-A190F0EF5212}">
  <ds:schemaRefs/>
</ds:datastoreItem>
</file>

<file path=customXml/itemProps5.xml><?xml version="1.0" encoding="utf-8"?>
<ds:datastoreItem xmlns:ds="http://schemas.openxmlformats.org/officeDocument/2006/customXml" ds:itemID="{AC94A902-52B3-47F2-84CF-3D6825D79B73}">
  <ds:schemaRefs/>
</ds:datastoreItem>
</file>

<file path=customXml/itemProps6.xml><?xml version="1.0" encoding="utf-8"?>
<ds:datastoreItem xmlns:ds="http://schemas.openxmlformats.org/officeDocument/2006/customXml" ds:itemID="{6BC2FABC-B012-4276-B0CD-4358DF80A76C}">
  <ds:schemaRefs/>
</ds:datastoreItem>
</file>

<file path=customXml/itemProps7.xml><?xml version="1.0" encoding="utf-8"?>
<ds:datastoreItem xmlns:ds="http://schemas.openxmlformats.org/officeDocument/2006/customXml" ds:itemID="{2788B485-6BFB-4CA2-845B-FD48F94B40E9}">
  <ds:schemaRefs/>
</ds:datastoreItem>
</file>

<file path=customXml/itemProps8.xml><?xml version="1.0" encoding="utf-8"?>
<ds:datastoreItem xmlns:ds="http://schemas.openxmlformats.org/officeDocument/2006/customXml" ds:itemID="{F7FA068F-CAD8-4563-A8A3-058F241300B6}">
  <ds:schemaRefs/>
</ds:datastoreItem>
</file>

<file path=customXml/itemProps9.xml><?xml version="1.0" encoding="utf-8"?>
<ds:datastoreItem xmlns:ds="http://schemas.openxmlformats.org/officeDocument/2006/customXml" ds:itemID="{D027817C-29CD-4E40-BC99-E5C84A95B43B}">
  <ds:schemaRefs/>
</ds:datastoreItem>
</file>

<file path=docProps/app.xml><?xml version="1.0" encoding="utf-8"?>
<Properties xmlns="http://schemas.openxmlformats.org/officeDocument/2006/extended-properties" xmlns:vt="http://schemas.openxmlformats.org/officeDocument/2006/docPropsVTypes">
  <Template>Normal</Template>
  <Pages>38</Pages>
  <Words>2646</Words>
  <Characters>15083</Characters>
  <Lines>125</Lines>
  <Paragraphs>35</Paragraphs>
  <TotalTime>5</TotalTime>
  <ScaleCrop>false</ScaleCrop>
  <LinksUpToDate>false</LinksUpToDate>
  <CharactersWithSpaces>17694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2022-02-16T11:37:00Z</dcterms:created>
  <dc:creator>lenovo</dc:creator>
  <cp:lastModifiedBy>再回首</cp:lastModifiedBy>
  <dcterms:modified xsi:type="dcterms:W3CDTF">2024-01-31T10:13:27Z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8E1F5CC85BCE4621891FD1189F52FA19_13</vt:lpwstr>
  </property>
</Properties>
</file>