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sz w:val="36"/>
        </w:rPr>
      </w:pPr>
      <w:r>
        <w:rPr>
          <w:rFonts w:hint="eastAsia" w:ascii="方正小标宋简体" w:hAnsi="方正小标宋简体" w:eastAsia="方正小标宋简体" w:cs="Arial"/>
          <w:sz w:val="36"/>
        </w:rPr>
        <w:t>涞水县发展和改革局</w:t>
      </w:r>
      <w:r>
        <w:rPr>
          <w:rFonts w:hint="eastAsia" w:ascii="方正小标宋简体" w:hAnsi="方正小标宋简体" w:eastAsia="方正小标宋简体"/>
          <w:sz w:val="36"/>
        </w:rPr>
        <w:t>权责清单事项总表</w:t>
      </w:r>
    </w:p>
    <w:p>
      <w:pPr>
        <w:spacing w:line="600" w:lineRule="exact"/>
        <w:jc w:val="center"/>
        <w:rPr>
          <w:rFonts w:ascii="楷体_GB2312" w:hAnsi="楷体_GB2312" w:eastAsia="楷体_GB2312"/>
          <w:sz w:val="36"/>
        </w:rPr>
      </w:pPr>
      <w:r>
        <w:rPr>
          <w:rFonts w:hint="eastAsia" w:ascii="楷体_GB2312" w:hAnsi="楷体_GB2312" w:eastAsia="楷体_GB2312"/>
        </w:rPr>
        <w:t>（共6类、79项）</w:t>
      </w:r>
    </w:p>
    <w:p>
      <w:pPr>
        <w:spacing w:line="600" w:lineRule="exact"/>
        <w:rPr>
          <w:rFonts w:ascii="仿宋_GB2312"/>
        </w:rPr>
      </w:pPr>
    </w:p>
    <w:tbl>
      <w:tblPr>
        <w:tblStyle w:val="5"/>
        <w:tblW w:w="137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2"/>
        <w:gridCol w:w="3121"/>
        <w:gridCol w:w="652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autoSpaceDE w:val="0"/>
              <w:autoSpaceDN w:val="0"/>
              <w:adjustRightInd w:val="0"/>
              <w:jc w:val="center"/>
              <w:rPr>
                <w:rFonts w:ascii="黑体" w:hAnsi="黑体" w:eastAsia="黑体"/>
              </w:rPr>
            </w:pPr>
            <w:r>
              <w:rPr>
                <w:rFonts w:hint="eastAsia" w:ascii="黑体" w:hAnsi="黑体" w:eastAsia="黑体"/>
                <w:color w:val="000000"/>
                <w:szCs w:val="28"/>
                <w:lang w:val="zh-CN"/>
              </w:rPr>
              <w:t>总序号</w:t>
            </w:r>
          </w:p>
        </w:tc>
        <w:tc>
          <w:tcPr>
            <w:tcW w:w="3193" w:type="dxa"/>
            <w:gridSpan w:val="2"/>
            <w:vAlign w:val="center"/>
          </w:tcPr>
          <w:p>
            <w:pPr>
              <w:autoSpaceDE w:val="0"/>
              <w:autoSpaceDN w:val="0"/>
              <w:adjustRightInd w:val="0"/>
              <w:jc w:val="center"/>
              <w:rPr>
                <w:rFonts w:ascii="黑体" w:hAnsi="黑体" w:eastAsia="黑体"/>
              </w:rPr>
            </w:pPr>
            <w:r>
              <w:rPr>
                <w:rFonts w:hint="eastAsia" w:ascii="黑体" w:hAnsi="黑体" w:eastAsia="黑体"/>
                <w:color w:val="000000"/>
                <w:szCs w:val="28"/>
                <w:lang w:val="zh-CN"/>
              </w:rPr>
              <w:t>类别及序号</w:t>
            </w:r>
          </w:p>
        </w:tc>
        <w:tc>
          <w:tcPr>
            <w:tcW w:w="6523" w:type="dxa"/>
            <w:vAlign w:val="center"/>
          </w:tcPr>
          <w:p>
            <w:pPr>
              <w:autoSpaceDE w:val="0"/>
              <w:autoSpaceDN w:val="0"/>
              <w:adjustRightInd w:val="0"/>
              <w:jc w:val="center"/>
              <w:rPr>
                <w:rFonts w:ascii="黑体" w:hAnsi="黑体" w:eastAsia="黑体"/>
              </w:rPr>
            </w:pPr>
            <w:r>
              <w:rPr>
                <w:rFonts w:hint="eastAsia" w:ascii="黑体" w:hAnsi="黑体" w:eastAsia="黑体"/>
                <w:color w:val="000000"/>
                <w:szCs w:val="28"/>
                <w:lang w:val="zh-CN"/>
              </w:rPr>
              <w:t>项目名称及数量</w:t>
            </w:r>
          </w:p>
        </w:tc>
        <w:tc>
          <w:tcPr>
            <w:tcW w:w="2693" w:type="dxa"/>
            <w:vAlign w:val="center"/>
          </w:tcPr>
          <w:p>
            <w:pPr>
              <w:spacing w:line="600" w:lineRule="exact"/>
              <w:jc w:val="center"/>
              <w:rPr>
                <w:rFonts w:ascii="黑体" w:hAnsi="黑体" w:eastAsia="黑体"/>
              </w:rPr>
            </w:pPr>
            <w:r>
              <w:rPr>
                <w:rFonts w:hint="eastAsia"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一、行政处罚</w:t>
            </w:r>
          </w:p>
        </w:tc>
        <w:tc>
          <w:tcPr>
            <w:tcW w:w="6523"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共4</w:t>
            </w:r>
            <w:r>
              <w:rPr>
                <w:rFonts w:ascii="仿宋_GB2312" w:hAnsi="仿宋_GB2312" w:cs="仿宋_GB2312"/>
                <w:sz w:val="24"/>
                <w:szCs w:val="24"/>
              </w:rPr>
              <w:t>8</w:t>
            </w:r>
            <w:r>
              <w:rPr>
                <w:rFonts w:hint="eastAsia" w:ascii="仿宋_GB2312" w:hAnsi="仿宋_GB2312" w:cs="仿宋_GB2312"/>
                <w:sz w:val="24"/>
                <w:szCs w:val="24"/>
              </w:rPr>
              <w:t>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对未按规定程序办理招标核准手续的行政处罚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6523" w:type="dxa"/>
            <w:vAlign w:val="center"/>
          </w:tcPr>
          <w:p>
            <w:pPr>
              <w:tabs>
                <w:tab w:val="left" w:pos="7937"/>
              </w:tabs>
              <w:spacing w:line="280" w:lineRule="exact"/>
              <w:jc w:val="left"/>
              <w:rPr>
                <w:rFonts w:ascii="仿宋_GB2312" w:hAnsi="仿宋_GB2312" w:cs="仿宋_GB2312"/>
                <w:sz w:val="24"/>
                <w:szCs w:val="24"/>
              </w:rPr>
            </w:pPr>
            <w:r>
              <w:rPr>
                <w:rFonts w:hint="eastAsia" w:ascii="仿宋_GB2312" w:hAnsi="仿宋_GB2312" w:cs="仿宋_GB2312"/>
                <w:sz w:val="24"/>
                <w:szCs w:val="24"/>
              </w:rPr>
              <w:t>对化工建设项目以及涉及主体违法行为的处罚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w:t>
            </w:r>
          </w:p>
        </w:tc>
        <w:tc>
          <w:tcPr>
            <w:tcW w:w="6523" w:type="dxa"/>
            <w:vAlign w:val="center"/>
          </w:tcPr>
          <w:p>
            <w:pPr>
              <w:shd w:val="clear" w:color="auto" w:fill="FFFFFF"/>
              <w:tabs>
                <w:tab w:val="left" w:pos="7937"/>
              </w:tabs>
              <w:autoSpaceDN w:val="0"/>
              <w:spacing w:line="280" w:lineRule="exact"/>
              <w:jc w:val="left"/>
              <w:textAlignment w:val="center"/>
              <w:rPr>
                <w:rFonts w:ascii="仿宋_GB2312" w:hAnsi="仿宋_GB2312" w:cs="仿宋_GB2312"/>
                <w:sz w:val="24"/>
                <w:szCs w:val="24"/>
              </w:rPr>
            </w:pPr>
            <w:r>
              <w:rPr>
                <w:rFonts w:hint="eastAsia" w:ascii="仿宋_GB2312" w:hAnsi="仿宋_GB2312" w:cs="仿宋_GB2312"/>
                <w:sz w:val="24"/>
                <w:szCs w:val="24"/>
              </w:rPr>
              <w:t>对危害电力设施、违法供（转供）电、违法使用国家明令禁止的电力设备技术、危害供用电安全及盗窃电能的处罚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w:t>
            </w:r>
          </w:p>
        </w:tc>
        <w:tc>
          <w:tcPr>
            <w:tcW w:w="6523" w:type="dxa"/>
            <w:vAlign w:val="center"/>
          </w:tcPr>
          <w:p>
            <w:pPr>
              <w:tabs>
                <w:tab w:val="left" w:pos="7937"/>
              </w:tabs>
              <w:spacing w:line="280" w:lineRule="exact"/>
              <w:jc w:val="left"/>
              <w:rPr>
                <w:rFonts w:ascii="仿宋_GB2312" w:hAnsi="仿宋_GB2312" w:cs="仿宋_GB2312"/>
                <w:sz w:val="24"/>
                <w:szCs w:val="24"/>
              </w:rPr>
            </w:pPr>
            <w:r>
              <w:rPr>
                <w:rFonts w:hint="eastAsia" w:ascii="仿宋_GB2312" w:hAnsi="仿宋_GB2312" w:cs="仿宋_GB2312"/>
                <w:sz w:val="24"/>
                <w:szCs w:val="24"/>
              </w:rPr>
              <w:t>对违法新建、改建、扩建水泥生产建设项目或使用袋装水泥在施工现场搅拌混凝土、砂浆的处罚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p>
        </w:tc>
        <w:tc>
          <w:tcPr>
            <w:tcW w:w="6523" w:type="dxa"/>
            <w:vAlign w:val="center"/>
          </w:tcPr>
          <w:p>
            <w:pPr>
              <w:tabs>
                <w:tab w:val="left" w:pos="470"/>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对违反国家规定，使用明令淘汰的用能设备或者生产工艺的处罚;</w:t>
            </w:r>
          </w:p>
          <w:p>
            <w:pPr>
              <w:tabs>
                <w:tab w:val="left" w:pos="470"/>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对超过单位产品能耗限额标准用能，限期治理，逾期不治理或者没有达到治理要求的处罚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对未按规定配备、使用能源计量器具，逾期不改正的处罚;</w:t>
            </w:r>
          </w:p>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对违反规定瞒报、伪造、篡改能源统计资料或者编造虚假能源统计数据,提供不真实或者不完整的统计资料的处罚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7</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对从事节能咨询、设计、评估、检测、审计、认证等服务的机构提供虚假信息的处罚;</w:t>
            </w:r>
          </w:p>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对违反国家规定无偿向本单位职工提供能源或者对能源消费实行包费制的处罚;</w:t>
            </w:r>
          </w:p>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对违反节能管理制度、节能措施的重点用能单位，责令实施能源审计，并提出书面整改要求，限期整改;无正当理由拒不落实整改要求或者整改没有达到要求的处罚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8</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8</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对未按规定设立能源管理岗位，聘任能源管理负责人，并报管理节能工作的部门和有关部门备案的处罚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9</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对违反规定拒绝依法实施的节能监察的，责令限期改正；拒不改正的处罚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10</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10</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对节能考核结果为未完成等级的重点用能单位，拒不落实管理节能工作的部门要求实施能源审计、报送能源审计报告、提出整改措施并限期整改的处罚;</w:t>
            </w:r>
          </w:p>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对未按规定设立能源管理岗位，能源管理负责人并报有关部门备案的，责令改正，拒不改正的处罚</w:t>
            </w:r>
          </w:p>
          <w:p>
            <w:pPr>
              <w:tabs>
                <w:tab w:val="left" w:pos="7937"/>
              </w:tabs>
              <w:spacing w:line="240" w:lineRule="exact"/>
              <w:jc w:val="left"/>
              <w:rPr>
                <w:rFonts w:ascii="仿宋_GB2312" w:hAnsi="仿宋_GB2312" w:cs="仿宋_GB2312"/>
                <w:b/>
                <w:bCs/>
                <w:sz w:val="24"/>
                <w:szCs w:val="24"/>
              </w:rPr>
            </w:pPr>
            <w:r>
              <w:rPr>
                <w:rFonts w:hint="eastAsia" w:ascii="仿宋_GB2312" w:hAnsi="仿宋_GB2312" w:cs="仿宋_GB2312"/>
                <w:sz w:val="24"/>
                <w:szCs w:val="24"/>
              </w:rPr>
              <w:t>对被监察单位在整改期限届满后，整改未达到要求的处罚;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11</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对未按规定报送能源利用状况报告或者报告内容不实的，对未按要求开展能耗在线监测系统建设和能耗在线监测工作的，责令限期整改。逾期不整改的或者没有达到整改要求的处罚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12</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对粮食收购、经营者违法情形的处罚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13</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对从事粮食收购、加工、销售的经营者的粮食库存低于规定的最低库存量、超出规定的最高库存量的处罚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14</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对粮食经营者未按照《粮食流通管理条例》使用粮食仓储设施、运输工具的处罚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15</w:t>
            </w:r>
          </w:p>
        </w:tc>
        <w:tc>
          <w:tcPr>
            <w:tcW w:w="6523" w:type="dxa"/>
            <w:vAlign w:val="center"/>
          </w:tcPr>
          <w:p>
            <w:pPr>
              <w:autoSpaceDN w:val="0"/>
              <w:spacing w:line="300" w:lineRule="exact"/>
              <w:jc w:val="left"/>
              <w:textAlignment w:val="center"/>
              <w:rPr>
                <w:rFonts w:ascii="仿宋_GB2312" w:hAnsi="仿宋_GB2312" w:cs="仿宋_GB2312"/>
                <w:sz w:val="24"/>
                <w:szCs w:val="24"/>
              </w:rPr>
            </w:pPr>
            <w:r>
              <w:rPr>
                <w:rFonts w:hint="eastAsia" w:ascii="仿宋_GB2312" w:hAnsi="仿宋_GB2312" w:cs="仿宋_GB2312"/>
                <w:color w:val="000000"/>
                <w:sz w:val="24"/>
                <w:szCs w:val="24"/>
              </w:rPr>
              <w:t>对违反粮食收购许可管理制度的处罚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16</w:t>
            </w:r>
          </w:p>
        </w:tc>
        <w:tc>
          <w:tcPr>
            <w:tcW w:w="6523" w:type="dxa"/>
            <w:vAlign w:val="center"/>
          </w:tcPr>
          <w:p>
            <w:pPr>
              <w:autoSpaceDN w:val="0"/>
              <w:spacing w:line="300" w:lineRule="exact"/>
              <w:jc w:val="left"/>
              <w:textAlignment w:val="center"/>
              <w:rPr>
                <w:rFonts w:ascii="仿宋_GB2312" w:hAnsi="仿宋_GB2312" w:cs="仿宋_GB2312"/>
                <w:sz w:val="24"/>
                <w:szCs w:val="24"/>
              </w:rPr>
            </w:pPr>
            <w:r>
              <w:rPr>
                <w:rFonts w:hint="eastAsia" w:ascii="仿宋_GB2312" w:hAnsi="仿宋_GB2312" w:cs="仿宋_GB2312"/>
                <w:color w:val="000000"/>
                <w:sz w:val="24"/>
                <w:szCs w:val="24"/>
              </w:rPr>
              <w:t>对粮食流通违法案件的处罚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17</w:t>
            </w:r>
          </w:p>
        </w:tc>
        <w:tc>
          <w:tcPr>
            <w:tcW w:w="6523" w:type="dxa"/>
            <w:vAlign w:val="center"/>
          </w:tcPr>
          <w:p>
            <w:pPr>
              <w:autoSpaceDN w:val="0"/>
              <w:spacing w:line="300" w:lineRule="exact"/>
              <w:jc w:val="left"/>
              <w:textAlignment w:val="center"/>
              <w:rPr>
                <w:rFonts w:ascii="仿宋_GB2312" w:hAnsi="仿宋_GB2312" w:cs="仿宋_GB2312"/>
                <w:sz w:val="24"/>
                <w:szCs w:val="24"/>
              </w:rPr>
            </w:pPr>
            <w:r>
              <w:rPr>
                <w:rFonts w:hint="eastAsia" w:ascii="仿宋_GB2312" w:hAnsi="仿宋_GB2312" w:cs="仿宋_GB2312"/>
                <w:color w:val="000000"/>
                <w:sz w:val="24"/>
                <w:szCs w:val="24"/>
              </w:rPr>
              <w:t>对违反粮食最低、最高库存量规定的处罚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18</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18</w:t>
            </w:r>
          </w:p>
        </w:tc>
        <w:tc>
          <w:tcPr>
            <w:tcW w:w="6523" w:type="dxa"/>
            <w:vAlign w:val="center"/>
          </w:tcPr>
          <w:p>
            <w:pPr>
              <w:autoSpaceDN w:val="0"/>
              <w:spacing w:line="300" w:lineRule="exact"/>
              <w:jc w:val="left"/>
              <w:textAlignment w:val="center"/>
              <w:rPr>
                <w:rFonts w:ascii="仿宋_GB2312" w:hAnsi="仿宋_GB2312" w:cs="仿宋_GB2312"/>
                <w:sz w:val="24"/>
                <w:szCs w:val="24"/>
              </w:rPr>
            </w:pPr>
            <w:r>
              <w:rPr>
                <w:rFonts w:hint="eastAsia" w:ascii="仿宋_GB2312" w:hAnsi="仿宋_GB2312" w:cs="仿宋_GB2312"/>
                <w:color w:val="000000"/>
                <w:sz w:val="24"/>
                <w:szCs w:val="24"/>
              </w:rPr>
              <w:t>对陈粮出库未按规定进行质量鉴定的处罚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19</w:t>
            </w:r>
          </w:p>
        </w:tc>
        <w:tc>
          <w:tcPr>
            <w:tcW w:w="6523" w:type="dxa"/>
            <w:vAlign w:val="center"/>
          </w:tcPr>
          <w:p>
            <w:pPr>
              <w:autoSpaceDN w:val="0"/>
              <w:spacing w:line="300" w:lineRule="exact"/>
              <w:jc w:val="left"/>
              <w:textAlignment w:val="center"/>
              <w:rPr>
                <w:rFonts w:ascii="仿宋_GB2312" w:hAnsi="仿宋_GB2312" w:cs="仿宋_GB2312"/>
                <w:sz w:val="24"/>
                <w:szCs w:val="24"/>
              </w:rPr>
            </w:pPr>
            <w:r>
              <w:rPr>
                <w:rFonts w:hint="eastAsia" w:ascii="仿宋_GB2312" w:hAnsi="仿宋_GB2312" w:cs="仿宋_GB2312"/>
                <w:color w:val="000000"/>
                <w:sz w:val="24"/>
                <w:szCs w:val="24"/>
              </w:rPr>
              <w:t>对粮油仓储单位违反备案规定的处罚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20</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20</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对非食盐定点批发企业经营食盐批发业务的处罚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21</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对食盐定点批发企业从除食盐定点生产企业、其他食盐定点批发企业以外的单位或者个人购买食盐的处罚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22</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对食盐零售单位从食盐定点批发企业以外的单位和个人购进食盐的处罚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23</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对食盐定点批发企业违反本办法规定聘用人员的处罚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24</w:t>
            </w:r>
          </w:p>
        </w:tc>
        <w:tc>
          <w:tcPr>
            <w:tcW w:w="6523" w:type="dxa"/>
            <w:vAlign w:val="center"/>
          </w:tcPr>
          <w:p>
            <w:pPr>
              <w:widowControl/>
              <w:spacing w:line="240" w:lineRule="exact"/>
              <w:jc w:val="left"/>
              <w:rPr>
                <w:rFonts w:ascii="仿宋_GB2312" w:hAnsi="仿宋_GB2312" w:cs="仿宋_GB2312"/>
                <w:sz w:val="24"/>
                <w:szCs w:val="24"/>
              </w:rPr>
            </w:pPr>
            <w:r>
              <w:rPr>
                <w:rFonts w:hint="eastAsia" w:ascii="仿宋_GB2312" w:hAnsi="仿宋_GB2312" w:cs="仿宋_GB2312"/>
                <w:sz w:val="24"/>
                <w:szCs w:val="24"/>
              </w:rPr>
              <w:t>对食盐定点批发企业未按照本办法规定保存采购销售记录的处罚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25</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对食盐定点批发企业超出国家规定的范围销售食盐的处罚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26</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对将非食用盐作为食盐销售的处罚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27</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对擅自开办碘盐加工企业或者未经批准从事碘盐批发业务的处罚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28</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28</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对批发不合格碘盐的处罚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29</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对在食用盐市场销售不合格碘盐或者擅自销售非碘盐的处罚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30</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30</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对规模发卡企业未按规定办理备案的处罚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31</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对规模发卡企业的发行与服务及资金管理违反管理办法的处罚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32</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对规模发卡企业未按规定建立业务处理系统并保障其运行质量相关的处罚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33</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对从事再生资源回收经营活动未按规定备案的处罚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34</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对未取得资质认定擅自从事机动车回收活动的处罚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35</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对出售不具备再制造条件的报废机动车“五大总成”、 不能继续使用的报废机动车“五大总成”以外的零部件、出售的报废机动车“五大总成”以外的零部件未标明“报废机动车回用件”的处罚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36</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对报废机动车回收企业对回收的报废机动车，未按照国家有关规定及时向公安机关交通管理部门办理注销登记并将注销证明转交机动车所有人的处罚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37</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对报废机动车回收企业未如实记录本企业回收的报废机动车“五大总成”等主要部件的数量、型号、流向等信息并上传至报废机动车回收信息系统的处罚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38</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38</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对回收拆解企业涂改、出租、出借或者以其他形式非法转让《资质认定书》的处罚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39</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对回收拆解企业违规开具或者发放《报废机动车回收证明》或者未按照规定对已出具《报废机动车回收证明》的报废机动车进行拆解的</w:t>
            </w:r>
            <w:bookmarkStart w:id="0" w:name="_GoBack"/>
            <w:bookmarkEnd w:id="0"/>
            <w:r>
              <w:rPr>
                <w:rFonts w:hint="eastAsia" w:ascii="仿宋_GB2312" w:hAnsi="仿宋_GB2312" w:cs="仿宋_GB2312"/>
                <w:sz w:val="24"/>
                <w:szCs w:val="24"/>
              </w:rPr>
              <w:t>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40</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40</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对回收拆解企业未在其资质认定的拆解经营场地内对回收的报废机动车予以拆解，或者交易报废机动车整车、拼装车的处罚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41</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对回收拆解企业未建立生产经营全覆盖的电子监控系统或者录像保存不足1年的处罚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42</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对回收拆解企业未按照要求建立报废机动车零部件销售台账并如实记录“五大总成”信息并上传信息系统的处罚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43</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对回收拆解企业未按照国家有关标准和规定要求对报废新能源汽车的废旧动力蓄电池或者其他类型储能设施进行拆卸、收集、贮存、运输及回收利用的，或者未将报废新能源汽车车辆相关信息录入有关平台的处罚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44</w:t>
            </w:r>
          </w:p>
        </w:tc>
        <w:tc>
          <w:tcPr>
            <w:tcW w:w="6523" w:type="dxa"/>
            <w:vAlign w:val="center"/>
          </w:tcPr>
          <w:p>
            <w:pPr>
              <w:spacing w:line="440" w:lineRule="exact"/>
              <w:rPr>
                <w:rFonts w:ascii="仿宋_GB2312" w:hAnsi="仿宋_GB2312" w:cs="仿宋_GB2312"/>
                <w:sz w:val="24"/>
                <w:szCs w:val="24"/>
              </w:rPr>
            </w:pPr>
            <w:r>
              <w:rPr>
                <w:rFonts w:hint="eastAsia" w:ascii="仿宋_GB2312" w:hAnsi="仿宋_GB2312" w:cs="仿宋_GB2312"/>
                <w:sz w:val="24"/>
                <w:szCs w:val="24"/>
              </w:rPr>
              <w:t>对回收拆解企业将报废机动车“五大总成”及其他零部件出售给或者交予规定以外企业处理的处罚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45</w:t>
            </w:r>
          </w:p>
        </w:tc>
        <w:tc>
          <w:tcPr>
            <w:tcW w:w="3121" w:type="dxa"/>
            <w:vAlign w:val="center"/>
          </w:tcPr>
          <w:p>
            <w:pPr>
              <w:spacing w:line="600" w:lineRule="exact"/>
              <w:ind w:firstLine="1200" w:firstLineChars="500"/>
              <w:rPr>
                <w:rFonts w:ascii="仿宋_GB2312" w:hAnsi="仿宋_GB2312" w:cs="仿宋_GB2312"/>
                <w:sz w:val="24"/>
                <w:szCs w:val="24"/>
              </w:rPr>
            </w:pPr>
            <w:r>
              <w:rPr>
                <w:rFonts w:ascii="仿宋_GB2312" w:hAnsi="仿宋_GB2312" w:cs="仿宋_GB2312"/>
                <w:sz w:val="24"/>
                <w:szCs w:val="24"/>
              </w:rPr>
              <w:t>45</w:t>
            </w:r>
          </w:p>
        </w:tc>
        <w:tc>
          <w:tcPr>
            <w:tcW w:w="6523" w:type="dxa"/>
            <w:vAlign w:val="center"/>
          </w:tcPr>
          <w:p>
            <w:pPr>
              <w:autoSpaceDN w:val="0"/>
              <w:spacing w:line="400" w:lineRule="exact"/>
              <w:jc w:val="center"/>
              <w:textAlignment w:val="center"/>
              <w:rPr>
                <w:rFonts w:ascii="宋体" w:hAnsi="宋体" w:eastAsia="宋体"/>
                <w:color w:val="000000"/>
                <w:sz w:val="24"/>
              </w:rPr>
            </w:pPr>
            <w:r>
              <w:rPr>
                <w:rFonts w:hint="eastAsia" w:ascii="宋体" w:hAnsi="宋体" w:eastAsia="宋体"/>
                <w:color w:val="000000"/>
                <w:sz w:val="24"/>
              </w:rPr>
              <w:t>占用人民防空通信专用频率、使用与防空警报相同的音响信号或者擅自拆除人民防空通信、警报设备设施处罚</w:t>
            </w:r>
          </w:p>
        </w:tc>
        <w:tc>
          <w:tcPr>
            <w:tcW w:w="2693" w:type="dxa"/>
            <w:vAlign w:val="center"/>
          </w:tcPr>
          <w:p>
            <w:pPr>
              <w:spacing w:line="6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46</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46</w:t>
            </w:r>
          </w:p>
        </w:tc>
        <w:tc>
          <w:tcPr>
            <w:tcW w:w="6523" w:type="dxa"/>
            <w:vAlign w:val="center"/>
          </w:tcPr>
          <w:p>
            <w:pPr>
              <w:autoSpaceDN w:val="0"/>
              <w:spacing w:line="400" w:lineRule="exact"/>
              <w:jc w:val="center"/>
              <w:textAlignment w:val="center"/>
              <w:rPr>
                <w:rFonts w:ascii="宋体" w:hAnsi="宋体" w:eastAsia="宋体"/>
                <w:color w:val="000000"/>
                <w:sz w:val="24"/>
              </w:rPr>
            </w:pPr>
            <w:r>
              <w:rPr>
                <w:rFonts w:hint="eastAsia" w:ascii="宋体" w:hAnsi="宋体" w:eastAsia="宋体"/>
                <w:color w:val="000000"/>
                <w:sz w:val="24"/>
              </w:rPr>
              <w:t>阻挠安装人民防空通信、警报设施，拒不改正处罚</w:t>
            </w:r>
          </w:p>
        </w:tc>
        <w:tc>
          <w:tcPr>
            <w:tcW w:w="2693" w:type="dxa"/>
            <w:vAlign w:val="center"/>
          </w:tcPr>
          <w:p>
            <w:pPr>
              <w:spacing w:line="6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47</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47</w:t>
            </w:r>
          </w:p>
        </w:tc>
        <w:tc>
          <w:tcPr>
            <w:tcW w:w="6523" w:type="dxa"/>
            <w:vAlign w:val="center"/>
          </w:tcPr>
          <w:p>
            <w:pPr>
              <w:autoSpaceDN w:val="0"/>
              <w:spacing w:line="400" w:lineRule="exact"/>
              <w:jc w:val="center"/>
              <w:textAlignment w:val="center"/>
              <w:rPr>
                <w:rFonts w:ascii="宋体" w:hAnsi="宋体" w:eastAsia="宋体"/>
                <w:color w:val="000000"/>
                <w:sz w:val="24"/>
              </w:rPr>
            </w:pPr>
            <w:r>
              <w:rPr>
                <w:rFonts w:hint="eastAsia" w:ascii="宋体" w:hAnsi="宋体" w:eastAsia="宋体"/>
                <w:color w:val="000000"/>
                <w:sz w:val="24"/>
              </w:rPr>
              <w:t>改变人民防空工程主体结构，拆除人民防空工程设备设施或者采取其他方法危害人民防空工程的安全与使用效能处罚</w:t>
            </w:r>
          </w:p>
        </w:tc>
        <w:tc>
          <w:tcPr>
            <w:tcW w:w="2693" w:type="dxa"/>
            <w:vAlign w:val="center"/>
          </w:tcPr>
          <w:p>
            <w:pPr>
              <w:spacing w:line="6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48</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48</w:t>
            </w:r>
          </w:p>
        </w:tc>
        <w:tc>
          <w:tcPr>
            <w:tcW w:w="6523" w:type="dxa"/>
            <w:vAlign w:val="center"/>
          </w:tcPr>
          <w:p>
            <w:pPr>
              <w:autoSpaceDN w:val="0"/>
              <w:spacing w:line="400" w:lineRule="exact"/>
              <w:jc w:val="center"/>
              <w:textAlignment w:val="center"/>
              <w:rPr>
                <w:rFonts w:ascii="宋体" w:hAnsi="宋体" w:eastAsia="宋体"/>
                <w:color w:val="000000"/>
                <w:sz w:val="24"/>
              </w:rPr>
            </w:pPr>
            <w:r>
              <w:rPr>
                <w:rFonts w:hint="eastAsia" w:ascii="宋体" w:hAnsi="宋体" w:eastAsia="宋体"/>
                <w:color w:val="000000"/>
                <w:sz w:val="24"/>
              </w:rPr>
              <w:t>城市新建民用建筑应建不建或者少修建防空地下室处罚</w:t>
            </w:r>
          </w:p>
        </w:tc>
        <w:tc>
          <w:tcPr>
            <w:tcW w:w="2693" w:type="dxa"/>
            <w:vAlign w:val="center"/>
          </w:tcPr>
          <w:p>
            <w:pPr>
              <w:spacing w:line="6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二、行政检查</w:t>
            </w:r>
          </w:p>
        </w:tc>
        <w:tc>
          <w:tcPr>
            <w:tcW w:w="6523"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共</w:t>
            </w:r>
            <w:r>
              <w:rPr>
                <w:rFonts w:ascii="仿宋_GB2312" w:hAnsi="仿宋_GB2312" w:cs="仿宋_GB2312"/>
                <w:sz w:val="24"/>
                <w:szCs w:val="24"/>
              </w:rPr>
              <w:t>24</w:t>
            </w:r>
            <w:r>
              <w:rPr>
                <w:rFonts w:hint="eastAsia" w:ascii="仿宋_GB2312" w:hAnsi="仿宋_GB2312" w:cs="仿宋_GB2312"/>
                <w:sz w:val="24"/>
                <w:szCs w:val="24"/>
              </w:rPr>
              <w:t>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w:t>
            </w:r>
            <w:r>
              <w:rPr>
                <w:rFonts w:ascii="仿宋_GB2312" w:hAnsi="仿宋_GB2312" w:cs="仿宋_GB2312"/>
                <w:sz w:val="24"/>
                <w:szCs w:val="24"/>
              </w:rPr>
              <w:t>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中央预算内投资补助和贴息资金项目实施情况监督检查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50</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对水泥、预拌混凝土和预拌砂浆的生产、经营、运输、使用监督检查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51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对节能法律、法规和节能标准执行情况监督检查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52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4</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对电力供应与使用监督检查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53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企业投资项目的监督检查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r>
              <w:rPr>
                <w:rFonts w:ascii="仿宋_GB2312" w:hAnsi="仿宋_GB2312" w:cs="仿宋_GB2312"/>
                <w:sz w:val="24"/>
                <w:szCs w:val="24"/>
              </w:rPr>
              <w:t>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对辖区内粮食收购、储存、运输活动和政策性用粮购销活动的检查</w:t>
            </w:r>
          </w:p>
          <w:p>
            <w:pPr>
              <w:tabs>
                <w:tab w:val="left" w:pos="7937"/>
              </w:tabs>
              <w:spacing w:line="240" w:lineRule="exact"/>
              <w:jc w:val="left"/>
              <w:rPr>
                <w:rFonts w:ascii="仿宋_GB2312" w:hAnsi="仿宋_GB2312" w:cs="仿宋_GB2312"/>
                <w:sz w:val="24"/>
                <w:szCs w:val="24"/>
              </w:rPr>
            </w:pPr>
          </w:p>
          <w:p>
            <w:pPr>
              <w:tabs>
                <w:tab w:val="left" w:pos="7937"/>
              </w:tabs>
              <w:spacing w:line="240" w:lineRule="exact"/>
              <w:rPr>
                <w:rFonts w:ascii="仿宋_GB2312" w:hAnsi="仿宋_GB2312" w:cs="仿宋_GB2312"/>
                <w:sz w:val="24"/>
                <w:szCs w:val="24"/>
              </w:rPr>
            </w:pP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r>
              <w:rPr>
                <w:rFonts w:ascii="仿宋_GB2312" w:hAnsi="仿宋_GB2312" w:cs="仿宋_GB2312"/>
                <w:sz w:val="24"/>
                <w:szCs w:val="24"/>
              </w:rPr>
              <w:t>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7</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对辖区内粮油仓储单位仓容量登统备案管理和组织实施粮食最低、最高库存量核定核查工作；社会粮食、食物植物油供需平衡调查工作；各类粮油企业基本情况数据库，掌握粮油产、消、存情况的检查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r>
              <w:rPr>
                <w:rFonts w:ascii="仿宋_GB2312" w:hAnsi="仿宋_GB2312" w:cs="仿宋_GB2312"/>
                <w:sz w:val="24"/>
                <w:szCs w:val="24"/>
              </w:rPr>
              <w:t>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8</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对辖区粮食经营及饲料、工业用粮企业的社会统计工作的检查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r>
              <w:rPr>
                <w:rFonts w:ascii="仿宋_GB2312" w:hAnsi="仿宋_GB2312" w:cs="仿宋_GB2312"/>
                <w:sz w:val="24"/>
                <w:szCs w:val="24"/>
              </w:rPr>
              <w:t>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9</w:t>
            </w:r>
          </w:p>
        </w:tc>
        <w:tc>
          <w:tcPr>
            <w:tcW w:w="6523" w:type="dxa"/>
            <w:vAlign w:val="center"/>
          </w:tcPr>
          <w:p>
            <w:pPr>
              <w:autoSpaceDN w:val="0"/>
              <w:spacing w:line="300" w:lineRule="exact"/>
              <w:textAlignment w:val="center"/>
              <w:rPr>
                <w:rFonts w:ascii="仿宋_GB2312" w:hAnsi="仿宋_GB2312" w:cs="仿宋_GB2312"/>
                <w:sz w:val="24"/>
                <w:szCs w:val="24"/>
              </w:rPr>
            </w:pPr>
            <w:r>
              <w:rPr>
                <w:rFonts w:hint="eastAsia" w:ascii="仿宋_GB2312" w:hAnsi="仿宋_GB2312" w:cs="仿宋_GB2312"/>
                <w:color w:val="000000"/>
                <w:sz w:val="24"/>
                <w:szCs w:val="24"/>
              </w:rPr>
              <w:t>对负责粮食流通统计和粮食产业经济统计工作的检查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r>
              <w:rPr>
                <w:rFonts w:ascii="仿宋_GB2312" w:hAnsi="仿宋_GB2312" w:cs="仿宋_GB2312"/>
                <w:sz w:val="24"/>
                <w:szCs w:val="24"/>
              </w:rPr>
              <w:t>8</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10</w:t>
            </w:r>
          </w:p>
        </w:tc>
        <w:tc>
          <w:tcPr>
            <w:tcW w:w="6523" w:type="dxa"/>
            <w:vAlign w:val="center"/>
          </w:tcPr>
          <w:p>
            <w:pPr>
              <w:autoSpaceDN w:val="0"/>
              <w:spacing w:line="300" w:lineRule="exact"/>
              <w:jc w:val="left"/>
              <w:textAlignment w:val="center"/>
              <w:rPr>
                <w:rFonts w:ascii="仿宋_GB2312" w:hAnsi="仿宋_GB2312" w:cs="仿宋_GB2312"/>
                <w:sz w:val="24"/>
                <w:szCs w:val="24"/>
              </w:rPr>
            </w:pPr>
            <w:r>
              <w:rPr>
                <w:rFonts w:hint="eastAsia" w:ascii="仿宋_GB2312" w:hAnsi="仿宋_GB2312" w:cs="仿宋_GB2312"/>
                <w:color w:val="000000"/>
                <w:sz w:val="24"/>
                <w:szCs w:val="24"/>
              </w:rPr>
              <w:t>对本辖区粮食的监督检查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5</w:t>
            </w:r>
            <w:r>
              <w:rPr>
                <w:rFonts w:ascii="仿宋_GB2312" w:hAnsi="仿宋_GB2312" w:cs="仿宋_GB2312"/>
                <w:sz w:val="24"/>
                <w:szCs w:val="24"/>
              </w:rPr>
              <w:t>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11</w:t>
            </w:r>
          </w:p>
        </w:tc>
        <w:tc>
          <w:tcPr>
            <w:tcW w:w="6523" w:type="dxa"/>
            <w:vAlign w:val="center"/>
          </w:tcPr>
          <w:p>
            <w:pPr>
              <w:widowControl/>
              <w:spacing w:line="320" w:lineRule="exact"/>
              <w:jc w:val="left"/>
              <w:rPr>
                <w:rFonts w:ascii="仿宋_GB2312" w:hAnsi="仿宋_GB2312" w:cs="仿宋_GB2312"/>
                <w:sz w:val="24"/>
                <w:szCs w:val="24"/>
              </w:rPr>
            </w:pPr>
            <w:r>
              <w:rPr>
                <w:rFonts w:hint="eastAsia" w:ascii="仿宋_GB2312" w:hAnsi="仿宋_GB2312" w:cs="仿宋_GB2312"/>
                <w:sz w:val="24"/>
                <w:szCs w:val="24"/>
              </w:rPr>
              <w:t>对生产、经营以及进出口单位的监控化学品有关资料、数据和使用目的进行的检查</w:t>
            </w:r>
          </w:p>
          <w:p>
            <w:pPr>
              <w:tabs>
                <w:tab w:val="left" w:pos="7937"/>
              </w:tabs>
              <w:spacing w:line="240" w:lineRule="exact"/>
              <w:jc w:val="left"/>
              <w:rPr>
                <w:rFonts w:ascii="仿宋_GB2312" w:hAnsi="仿宋_GB2312" w:cs="仿宋_GB2312"/>
                <w:sz w:val="24"/>
                <w:szCs w:val="24"/>
              </w:rPr>
            </w:pP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60</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12</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对证照齐全的民用爆炸物品生产、流通企业单位的安全生产监督检查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61</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13</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对盐业管理对象的监督检查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62</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14</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对工业用盐等非食用盐的检查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63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15</w:t>
            </w:r>
          </w:p>
        </w:tc>
        <w:tc>
          <w:tcPr>
            <w:tcW w:w="6523" w:type="dxa"/>
            <w:vAlign w:val="center"/>
          </w:tcPr>
          <w:p>
            <w:pPr>
              <w:spacing w:line="440" w:lineRule="exact"/>
              <w:jc w:val="left"/>
              <w:rPr>
                <w:rFonts w:ascii="仿宋_GB2312" w:hAnsi="仿宋_GB2312" w:cs="仿宋_GB2312"/>
                <w:sz w:val="24"/>
                <w:szCs w:val="24"/>
              </w:rPr>
            </w:pPr>
            <w:r>
              <w:rPr>
                <w:rFonts w:hint="eastAsia" w:ascii="仿宋_GB2312" w:hAnsi="仿宋_GB2312" w:cs="仿宋_GB2312"/>
                <w:sz w:val="24"/>
                <w:szCs w:val="24"/>
              </w:rPr>
              <w:t>对再生资源行业的检查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r>
              <w:rPr>
                <w:rFonts w:ascii="仿宋_GB2312" w:hAnsi="仿宋_GB2312" w:cs="仿宋_GB2312"/>
                <w:sz w:val="24"/>
                <w:szCs w:val="24"/>
              </w:rPr>
              <w:t>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16</w:t>
            </w:r>
          </w:p>
        </w:tc>
        <w:tc>
          <w:tcPr>
            <w:tcW w:w="6523" w:type="dxa"/>
            <w:vAlign w:val="center"/>
          </w:tcPr>
          <w:p>
            <w:pPr>
              <w:spacing w:line="440" w:lineRule="exact"/>
              <w:jc w:val="left"/>
              <w:rPr>
                <w:rFonts w:ascii="仿宋_GB2312" w:hAnsi="仿宋_GB2312" w:cs="仿宋_GB2312"/>
                <w:sz w:val="24"/>
                <w:szCs w:val="24"/>
              </w:rPr>
            </w:pPr>
            <w:r>
              <w:rPr>
                <w:rFonts w:hint="eastAsia" w:ascii="仿宋_GB2312" w:hAnsi="仿宋_GB2312" w:cs="仿宋_GB2312"/>
                <w:sz w:val="24"/>
                <w:szCs w:val="24"/>
              </w:rPr>
              <w:t>对报废机动车回收的检查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r>
              <w:rPr>
                <w:rFonts w:ascii="仿宋_GB2312" w:hAnsi="仿宋_GB2312" w:cs="仿宋_GB2312"/>
                <w:sz w:val="24"/>
                <w:szCs w:val="24"/>
              </w:rPr>
              <w:t>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17</w:t>
            </w:r>
          </w:p>
        </w:tc>
        <w:tc>
          <w:tcPr>
            <w:tcW w:w="6523" w:type="dxa"/>
            <w:vAlign w:val="center"/>
          </w:tcPr>
          <w:p>
            <w:pPr>
              <w:spacing w:line="440" w:lineRule="exact"/>
              <w:jc w:val="left"/>
              <w:rPr>
                <w:rFonts w:ascii="仿宋_GB2312" w:hAnsi="仿宋_GB2312" w:cs="仿宋_GB2312"/>
                <w:sz w:val="24"/>
                <w:szCs w:val="24"/>
              </w:rPr>
            </w:pPr>
            <w:r>
              <w:rPr>
                <w:rFonts w:hint="eastAsia" w:ascii="仿宋_GB2312" w:hAnsi="仿宋_GB2312" w:cs="仿宋_GB2312"/>
                <w:sz w:val="24"/>
                <w:szCs w:val="24"/>
              </w:rPr>
              <w:t>对汽车销售及其相关服务活动实施日常检查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r>
              <w:rPr>
                <w:rFonts w:ascii="仿宋_GB2312" w:hAnsi="仿宋_GB2312" w:cs="仿宋_GB2312"/>
                <w:sz w:val="24"/>
                <w:szCs w:val="24"/>
              </w:rPr>
              <w:t>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18</w:t>
            </w:r>
          </w:p>
        </w:tc>
        <w:tc>
          <w:tcPr>
            <w:tcW w:w="6523" w:type="dxa"/>
            <w:vAlign w:val="center"/>
          </w:tcPr>
          <w:p>
            <w:pPr>
              <w:spacing w:line="440" w:lineRule="exact"/>
              <w:jc w:val="left"/>
              <w:rPr>
                <w:rFonts w:ascii="仿宋_GB2312" w:hAnsi="仿宋_GB2312" w:cs="仿宋_GB2312"/>
                <w:sz w:val="24"/>
                <w:szCs w:val="24"/>
              </w:rPr>
            </w:pPr>
            <w:r>
              <w:rPr>
                <w:rFonts w:hint="eastAsia" w:ascii="仿宋_GB2312" w:hAnsi="仿宋_GB2312" w:cs="仿宋_GB2312"/>
                <w:sz w:val="24"/>
                <w:szCs w:val="24"/>
              </w:rPr>
              <w:t>对二手车流通的检查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6</w:t>
            </w:r>
            <w:r>
              <w:rPr>
                <w:rFonts w:ascii="仿宋_GB2312" w:hAnsi="仿宋_GB2312" w:cs="仿宋_GB2312"/>
                <w:sz w:val="24"/>
                <w:szCs w:val="24"/>
              </w:rPr>
              <w:t>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19</w:t>
            </w:r>
          </w:p>
        </w:tc>
        <w:tc>
          <w:tcPr>
            <w:tcW w:w="6523" w:type="dxa"/>
            <w:vAlign w:val="center"/>
          </w:tcPr>
          <w:p>
            <w:pPr>
              <w:spacing w:line="440" w:lineRule="exact"/>
              <w:jc w:val="left"/>
              <w:rPr>
                <w:rFonts w:ascii="仿宋_GB2312" w:hAnsi="仿宋_GB2312" w:cs="仿宋_GB2312"/>
                <w:sz w:val="24"/>
                <w:szCs w:val="24"/>
              </w:rPr>
            </w:pPr>
            <w:r>
              <w:rPr>
                <w:rFonts w:hint="eastAsia" w:ascii="仿宋_GB2312" w:hAnsi="仿宋_GB2312" w:cs="仿宋_GB2312"/>
                <w:sz w:val="24"/>
                <w:szCs w:val="24"/>
              </w:rPr>
              <w:t>对单用途商业预付卡的检查</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spacing w:line="600" w:lineRule="exact"/>
              <w:jc w:val="center"/>
              <w:rPr>
                <w:rFonts w:ascii="仿宋_GB2312" w:hAnsi="仿宋_GB2312" w:cs="仿宋_GB2312"/>
                <w:sz w:val="24"/>
                <w:szCs w:val="24"/>
              </w:rPr>
            </w:pPr>
            <w:r>
              <w:rPr>
                <w:rFonts w:ascii="仿宋_GB2312" w:hAnsi="仿宋_GB2312" w:cs="仿宋_GB2312"/>
                <w:sz w:val="24"/>
                <w:szCs w:val="24"/>
              </w:rPr>
              <w:t>68</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20</w:t>
            </w:r>
          </w:p>
        </w:tc>
        <w:tc>
          <w:tcPr>
            <w:tcW w:w="6523" w:type="dxa"/>
            <w:vAlign w:val="center"/>
          </w:tcPr>
          <w:p>
            <w:pPr>
              <w:autoSpaceDN w:val="0"/>
              <w:spacing w:line="300" w:lineRule="exact"/>
              <w:jc w:val="center"/>
              <w:textAlignment w:val="center"/>
              <w:rPr>
                <w:rFonts w:ascii="仿宋_GB2312" w:hAnsi="仿宋_GB2312" w:cs="仿宋_GB2312"/>
                <w:sz w:val="24"/>
                <w:szCs w:val="24"/>
              </w:rPr>
            </w:pPr>
            <w:r>
              <w:rPr>
                <w:rFonts w:hint="eastAsia" w:ascii="仿宋_GB2312" w:hAnsi="仿宋_GB2312" w:cs="仿宋_GB2312"/>
                <w:sz w:val="24"/>
                <w:szCs w:val="24"/>
              </w:rPr>
              <w:t>对人民防空工程质量的监督</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spacing w:line="600" w:lineRule="exact"/>
              <w:jc w:val="center"/>
              <w:rPr>
                <w:rFonts w:ascii="仿宋_GB2312" w:hAnsi="仿宋_GB2312" w:cs="仿宋_GB2312"/>
                <w:sz w:val="24"/>
                <w:szCs w:val="24"/>
              </w:rPr>
            </w:pPr>
            <w:r>
              <w:rPr>
                <w:rFonts w:ascii="仿宋_GB2312" w:hAnsi="仿宋_GB2312" w:cs="仿宋_GB2312"/>
                <w:sz w:val="24"/>
                <w:szCs w:val="24"/>
              </w:rPr>
              <w:t>69</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21</w:t>
            </w:r>
          </w:p>
        </w:tc>
        <w:tc>
          <w:tcPr>
            <w:tcW w:w="6523" w:type="dxa"/>
            <w:vAlign w:val="center"/>
          </w:tcPr>
          <w:p>
            <w:pPr>
              <w:autoSpaceDN w:val="0"/>
              <w:spacing w:line="300" w:lineRule="exact"/>
              <w:jc w:val="center"/>
              <w:textAlignment w:val="center"/>
              <w:rPr>
                <w:rFonts w:ascii="仿宋_GB2312" w:hAnsi="仿宋_GB2312" w:cs="仿宋_GB2312"/>
                <w:sz w:val="24"/>
                <w:szCs w:val="24"/>
              </w:rPr>
            </w:pPr>
            <w:r>
              <w:rPr>
                <w:rFonts w:hint="eastAsia" w:ascii="仿宋_GB2312" w:hAnsi="仿宋_GB2312" w:cs="仿宋_GB2312"/>
                <w:sz w:val="24"/>
                <w:szCs w:val="24"/>
              </w:rPr>
              <w:t>对人民防空工程维护管理的监督</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spacing w:line="600" w:lineRule="exact"/>
              <w:jc w:val="center"/>
              <w:rPr>
                <w:rFonts w:ascii="仿宋_GB2312" w:hAnsi="仿宋_GB2312" w:cs="仿宋_GB2312"/>
                <w:sz w:val="24"/>
                <w:szCs w:val="24"/>
              </w:rPr>
            </w:pPr>
            <w:r>
              <w:rPr>
                <w:rFonts w:ascii="仿宋_GB2312" w:hAnsi="仿宋_GB2312" w:cs="仿宋_GB2312"/>
                <w:sz w:val="24"/>
                <w:szCs w:val="24"/>
              </w:rPr>
              <w:t>70</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22</w:t>
            </w:r>
          </w:p>
        </w:tc>
        <w:tc>
          <w:tcPr>
            <w:tcW w:w="6523" w:type="dxa"/>
            <w:vAlign w:val="center"/>
          </w:tcPr>
          <w:p>
            <w:pPr>
              <w:autoSpaceDN w:val="0"/>
              <w:spacing w:line="300" w:lineRule="exact"/>
              <w:jc w:val="center"/>
              <w:textAlignment w:val="center"/>
              <w:rPr>
                <w:rFonts w:ascii="仿宋_GB2312" w:hAnsi="仿宋_GB2312" w:cs="仿宋_GB2312"/>
                <w:sz w:val="24"/>
                <w:szCs w:val="24"/>
              </w:rPr>
            </w:pPr>
            <w:r>
              <w:rPr>
                <w:rFonts w:hint="eastAsia" w:ascii="仿宋_GB2312" w:hAnsi="仿宋_GB2312" w:cs="仿宋_GB2312"/>
                <w:sz w:val="24"/>
                <w:szCs w:val="24"/>
              </w:rPr>
              <w:t>对城市地下空间开发利用兼顾人民防空要求的监督</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spacing w:line="600" w:lineRule="exact"/>
              <w:jc w:val="center"/>
              <w:rPr>
                <w:rFonts w:ascii="仿宋_GB2312" w:hAnsi="仿宋_GB2312" w:cs="仿宋_GB2312"/>
                <w:sz w:val="24"/>
                <w:szCs w:val="24"/>
              </w:rPr>
            </w:pPr>
            <w:r>
              <w:rPr>
                <w:rFonts w:ascii="仿宋_GB2312" w:hAnsi="仿宋_GB2312" w:cs="仿宋_GB2312"/>
                <w:sz w:val="24"/>
                <w:szCs w:val="24"/>
              </w:rPr>
              <w:t>71</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23</w:t>
            </w:r>
          </w:p>
        </w:tc>
        <w:tc>
          <w:tcPr>
            <w:tcW w:w="6523" w:type="dxa"/>
            <w:vAlign w:val="center"/>
          </w:tcPr>
          <w:p>
            <w:pPr>
              <w:autoSpaceDN w:val="0"/>
              <w:spacing w:line="300" w:lineRule="exact"/>
              <w:jc w:val="center"/>
              <w:textAlignment w:val="center"/>
              <w:rPr>
                <w:rFonts w:ascii="仿宋_GB2312" w:hAnsi="仿宋_GB2312" w:cs="仿宋_GB2312"/>
                <w:sz w:val="24"/>
                <w:szCs w:val="24"/>
              </w:rPr>
            </w:pPr>
            <w:r>
              <w:rPr>
                <w:rFonts w:hint="eastAsia" w:ascii="仿宋_GB2312" w:hAnsi="仿宋_GB2312" w:cs="仿宋_GB2312"/>
                <w:sz w:val="24"/>
                <w:szCs w:val="24"/>
              </w:rPr>
              <w:t>对人民防空指挥通信终端设备和警报通信终端设备维护工作的监督</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spacing w:line="600" w:lineRule="exact"/>
              <w:jc w:val="center"/>
              <w:rPr>
                <w:rFonts w:ascii="仿宋_GB2312" w:hAnsi="仿宋_GB2312" w:cs="仿宋_GB2312"/>
                <w:sz w:val="24"/>
                <w:szCs w:val="24"/>
              </w:rPr>
            </w:pPr>
            <w:r>
              <w:rPr>
                <w:rFonts w:ascii="仿宋_GB2312" w:hAnsi="仿宋_GB2312" w:cs="仿宋_GB2312"/>
                <w:sz w:val="24"/>
                <w:szCs w:val="24"/>
              </w:rPr>
              <w:t>72</w:t>
            </w:r>
          </w:p>
        </w:tc>
        <w:tc>
          <w:tcPr>
            <w:tcW w:w="312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24</w:t>
            </w:r>
          </w:p>
        </w:tc>
        <w:tc>
          <w:tcPr>
            <w:tcW w:w="6523" w:type="dxa"/>
            <w:vAlign w:val="center"/>
          </w:tcPr>
          <w:p>
            <w:pPr>
              <w:autoSpaceDN w:val="0"/>
              <w:spacing w:line="300" w:lineRule="exact"/>
              <w:jc w:val="center"/>
              <w:textAlignment w:val="center"/>
              <w:rPr>
                <w:rFonts w:ascii="仿宋_GB2312" w:hAnsi="仿宋_GB2312" w:cs="仿宋_GB2312"/>
                <w:sz w:val="24"/>
                <w:szCs w:val="24"/>
              </w:rPr>
            </w:pPr>
            <w:r>
              <w:rPr>
                <w:rFonts w:hint="eastAsia" w:ascii="仿宋_GB2312" w:hAnsi="仿宋_GB2312" w:cs="仿宋_GB2312"/>
                <w:sz w:val="24"/>
                <w:szCs w:val="24"/>
              </w:rPr>
              <w:t>对人民防空教育的监督</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三、行政确认</w:t>
            </w:r>
          </w:p>
        </w:tc>
        <w:tc>
          <w:tcPr>
            <w:tcW w:w="6523"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共1项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73</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价格认定</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四、行政裁决</w:t>
            </w:r>
          </w:p>
        </w:tc>
        <w:tc>
          <w:tcPr>
            <w:tcW w:w="6523"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共1项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7</w:t>
            </w:r>
            <w:r>
              <w:rPr>
                <w:rFonts w:hint="eastAsia" w:ascii="仿宋_GB2312" w:hAnsi="仿宋_GB2312" w:cs="仿宋_GB2312"/>
                <w:sz w:val="24"/>
                <w:szCs w:val="24"/>
              </w:rPr>
              <w:t>4</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价格认定复核</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五、行政强制</w:t>
            </w:r>
          </w:p>
        </w:tc>
        <w:tc>
          <w:tcPr>
            <w:tcW w:w="6523"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共2项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7</w:t>
            </w:r>
            <w:r>
              <w:rPr>
                <w:rFonts w:hint="eastAsia" w:ascii="仿宋_GB2312" w:hAnsi="仿宋_GB2312" w:cs="仿宋_GB2312"/>
                <w:sz w:val="24"/>
                <w:szCs w:val="24"/>
              </w:rPr>
              <w:t>5</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6523" w:type="dxa"/>
            <w:vAlign w:val="center"/>
          </w:tcPr>
          <w:p>
            <w:pPr>
              <w:tabs>
                <w:tab w:val="left" w:pos="7937"/>
              </w:tabs>
              <w:spacing w:line="240" w:lineRule="exact"/>
              <w:jc w:val="left"/>
              <w:rPr>
                <w:rFonts w:ascii="仿宋_GB2312" w:hAnsi="仿宋_GB2312" w:cs="仿宋_GB2312"/>
                <w:sz w:val="24"/>
                <w:szCs w:val="24"/>
              </w:rPr>
            </w:pPr>
            <w:r>
              <w:rPr>
                <w:rFonts w:hint="eastAsia" w:ascii="仿宋_GB2312" w:hAnsi="仿宋_GB2312" w:cs="仿宋_GB2312"/>
                <w:sz w:val="24"/>
                <w:szCs w:val="24"/>
              </w:rPr>
              <w:t>查封、扣押涉嫌违法的食盐、原材料、工具、设备</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7</w:t>
            </w:r>
            <w:r>
              <w:rPr>
                <w:rFonts w:hint="eastAsia" w:ascii="仿宋_GB2312" w:hAnsi="仿宋_GB2312" w:cs="仿宋_GB2312"/>
                <w:sz w:val="24"/>
                <w:szCs w:val="24"/>
              </w:rPr>
              <w:t>6</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6523" w:type="dxa"/>
            <w:vAlign w:val="center"/>
          </w:tcPr>
          <w:p>
            <w:pPr>
              <w:spacing w:line="600" w:lineRule="exact"/>
              <w:jc w:val="left"/>
              <w:rPr>
                <w:rFonts w:ascii="仿宋_GB2312" w:hAnsi="仿宋_GB2312" w:cs="仿宋_GB2312"/>
                <w:sz w:val="24"/>
                <w:szCs w:val="24"/>
              </w:rPr>
            </w:pPr>
            <w:r>
              <w:rPr>
                <w:rFonts w:hint="eastAsia" w:ascii="仿宋_GB2312" w:hAnsi="仿宋_GB2312" w:cs="仿宋_GB2312"/>
                <w:sz w:val="24"/>
                <w:szCs w:val="24"/>
              </w:rPr>
              <w:t>查封涉嫌违法生产或者销售食盐的场所</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六、其他类</w:t>
            </w:r>
          </w:p>
        </w:tc>
        <w:tc>
          <w:tcPr>
            <w:tcW w:w="6523"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共3项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ascii="仿宋_GB2312" w:hAnsi="仿宋_GB2312" w:cs="仿宋_GB2312"/>
                <w:sz w:val="24"/>
                <w:szCs w:val="24"/>
              </w:rPr>
              <w:t>7</w:t>
            </w:r>
            <w:r>
              <w:rPr>
                <w:rFonts w:hint="eastAsia" w:ascii="仿宋_GB2312" w:hAnsi="仿宋_GB2312" w:cs="仿宋_GB2312"/>
                <w:sz w:val="24"/>
                <w:szCs w:val="24"/>
              </w:rPr>
              <w:t>7</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政府投资项目建议书审批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78</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政府投资项目可行性研究报告审批</w:t>
            </w:r>
          </w:p>
        </w:tc>
        <w:tc>
          <w:tcPr>
            <w:tcW w:w="2693" w:type="dxa"/>
            <w:vAlign w:val="center"/>
          </w:tcPr>
          <w:p>
            <w:pPr>
              <w:spacing w:line="60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79</w:t>
            </w:r>
          </w:p>
        </w:tc>
        <w:tc>
          <w:tcPr>
            <w:tcW w:w="3193" w:type="dxa"/>
            <w:gridSpan w:val="2"/>
            <w:vAlign w:val="center"/>
          </w:tcPr>
          <w:p>
            <w:pPr>
              <w:spacing w:line="600" w:lineRule="exact"/>
              <w:jc w:val="center"/>
              <w:rPr>
                <w:rFonts w:ascii="仿宋_GB2312" w:hAnsi="仿宋_GB2312" w:cs="仿宋_GB2312"/>
                <w:sz w:val="24"/>
                <w:szCs w:val="24"/>
              </w:rPr>
            </w:pPr>
            <w:r>
              <w:rPr>
                <w:rFonts w:hint="eastAsia" w:ascii="仿宋_GB2312" w:hAnsi="仿宋_GB2312" w:cs="仿宋_GB2312"/>
                <w:sz w:val="24"/>
                <w:szCs w:val="24"/>
              </w:rPr>
              <w:t>3</w:t>
            </w:r>
          </w:p>
        </w:tc>
        <w:tc>
          <w:tcPr>
            <w:tcW w:w="6523" w:type="dxa"/>
            <w:vAlign w:val="center"/>
          </w:tcPr>
          <w:p>
            <w:pPr>
              <w:tabs>
                <w:tab w:val="left" w:pos="7937"/>
              </w:tabs>
              <w:spacing w:line="280" w:lineRule="exact"/>
              <w:rPr>
                <w:rFonts w:ascii="仿宋_GB2312" w:hAnsi="仿宋_GB2312" w:cs="仿宋_GB2312"/>
                <w:sz w:val="24"/>
                <w:szCs w:val="24"/>
              </w:rPr>
            </w:pPr>
            <w:r>
              <w:rPr>
                <w:rFonts w:hint="eastAsia" w:ascii="仿宋_GB2312" w:hAnsi="仿宋_GB2312" w:cs="仿宋_GB2312"/>
                <w:sz w:val="24"/>
                <w:szCs w:val="24"/>
              </w:rPr>
              <w:t>政府投资项目初步设计审批（包括审核政府投资项目概算、审批政务信息化项目建设方案）</w:t>
            </w:r>
          </w:p>
        </w:tc>
        <w:tc>
          <w:tcPr>
            <w:tcW w:w="2693" w:type="dxa"/>
            <w:vAlign w:val="center"/>
          </w:tcPr>
          <w:p>
            <w:pPr>
              <w:spacing w:line="600" w:lineRule="exact"/>
              <w:jc w:val="center"/>
              <w:rPr>
                <w:rFonts w:ascii="仿宋_GB2312" w:hAnsi="仿宋_GB2312" w:cs="仿宋_GB2312"/>
                <w:sz w:val="24"/>
                <w:szCs w:val="24"/>
              </w:rPr>
            </w:pPr>
          </w:p>
        </w:tc>
      </w:tr>
    </w:tbl>
    <w:p>
      <w:pPr>
        <w:spacing w:line="600" w:lineRule="exact"/>
        <w:rPr>
          <w:rFonts w:ascii="仿宋_GB2312"/>
        </w:rPr>
      </w:pPr>
    </w:p>
    <w:p>
      <w:pPr>
        <w:spacing w:line="600" w:lineRule="exact"/>
        <w:rPr>
          <w:rFonts w:ascii="仿宋_GB2312"/>
        </w:rPr>
      </w:pPr>
    </w:p>
    <w:p>
      <w:pPr>
        <w:spacing w:line="600" w:lineRule="exact"/>
        <w:rPr>
          <w:rFonts w:ascii="仿宋_GB2312"/>
        </w:rPr>
      </w:pPr>
    </w:p>
    <w:p>
      <w:pPr>
        <w:spacing w:line="600" w:lineRule="exact"/>
        <w:rPr>
          <w:rFonts w:ascii="仿宋_GB231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61C51C53"/>
    <w:rsid w:val="000D0997"/>
    <w:rsid w:val="002F5254"/>
    <w:rsid w:val="003171C6"/>
    <w:rsid w:val="003710D2"/>
    <w:rsid w:val="00410B1D"/>
    <w:rsid w:val="007A2190"/>
    <w:rsid w:val="00902FE7"/>
    <w:rsid w:val="00934735"/>
    <w:rsid w:val="00A03013"/>
    <w:rsid w:val="00A76163"/>
    <w:rsid w:val="00AD6E78"/>
    <w:rsid w:val="00AF4852"/>
    <w:rsid w:val="00BD250B"/>
    <w:rsid w:val="00BD3E96"/>
    <w:rsid w:val="00C233AC"/>
    <w:rsid w:val="00C82307"/>
    <w:rsid w:val="00CF1971"/>
    <w:rsid w:val="00D35BC0"/>
    <w:rsid w:val="00E36C9C"/>
    <w:rsid w:val="00FE0BCB"/>
    <w:rsid w:val="33C53D0B"/>
    <w:rsid w:val="3B6459E4"/>
    <w:rsid w:val="3CA50018"/>
    <w:rsid w:val="3EFD5F3F"/>
    <w:rsid w:val="5F9C7BCC"/>
    <w:rsid w:val="61C51C53"/>
    <w:rsid w:val="65B00C48"/>
    <w:rsid w:val="751A13C1"/>
    <w:rsid w:val="76E1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0"/>
    <w:rPr>
      <w:rFonts w:eastAsia="仿宋_GB2312"/>
      <w:kern w:val="2"/>
      <w:sz w:val="18"/>
      <w:szCs w:val="18"/>
    </w:rPr>
  </w:style>
  <w:style w:type="character" w:customStyle="1" w:styleId="8">
    <w:name w:val="页脚 Char"/>
    <w:basedOn w:val="6"/>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保定市发展和改革委员会</Company>
  <Pages>9</Pages>
  <Words>516</Words>
  <Characters>2943</Characters>
  <Lines>24</Lines>
  <Paragraphs>6</Paragraphs>
  <TotalTime>20</TotalTime>
  <ScaleCrop>false</ScaleCrop>
  <LinksUpToDate>false</LinksUpToDate>
  <CharactersWithSpaces>3453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2023-10-27T04:40:00Z</dcterms:created>
  <dc:creator>慈艳涛</dc:creator>
  <cp:lastModifiedBy>八爪小鱼</cp:lastModifiedBy>
  <dcterms:modified xsi:type="dcterms:W3CDTF">2024-02-04T07:50:57Z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A08543F4AC464537B39033E2A2DB6CC9_12</vt:lpwstr>
  </property>
</Properties>
</file>