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</w:rPr>
        <w:t>涞水县农业农村局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</w:rPr>
        <w:t>年政府信息公开工作年度报告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仿宋_GB2312" w:eastAsia="仿宋_GB2312" w:cs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Ansi="仿宋_GB2312" w:hint="eastAsia"/>
          <w:color w:val="000000"/>
          <w:sz w:val="32"/>
          <w:szCs w:val="32"/>
        </w:rPr>
        <w:t xml:space="preserve"> </w:t>
      </w:r>
    </w:p>
    <w:p>
      <w:pPr>
        <w:pStyle w:val="17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580" w:lineRule="exact"/>
        <w:ind w:left="0" w:right="0" w:firstLineChars="181" w:firstLine="579"/>
        <w:jc w:val="both"/>
        <w:rPr>
          <w:rFonts w:ascii="仿宋_GB2312" w:eastAsia="仿宋_GB2312" w:cs="仿宋_GB2312" w:hAnsi="微软雅黑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</w:rPr>
      </w:pP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本报告依据《中华人民共和国政府信息公开条例》、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-15"/>
          <w:sz w:val="32"/>
          <w:szCs w:val="32"/>
          <w:u w:val="none"/>
          <w:bdr w:val="none" w:sz="0" w:space="0" w:color="auto"/>
          <w:shd w:val="clear" w:color="auto" w:fill="FFFFFF"/>
        </w:rPr>
        <w:t>国务院办公厅政府信息与政务公开办公室《关于印发〈中华人民共和国政府信息公开工作年度报告格式〉的通知》（国办公开办函〔2021〕30号）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要求编制而成。本年度报告中所列数据的统计期限自2023年1月1日起至2023年12月31日止。</w:t>
      </w:r>
    </w:p>
    <w:p>
      <w:pPr>
        <w:pStyle w:val="17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580" w:lineRule="exact"/>
        <w:ind w:left="0" w:right="0" w:firstLine="420"/>
        <w:jc w:val="both"/>
        <w:rPr>
          <w:rFonts w:ascii="黑体" w:eastAsia="黑体" w:cs="黑体" w:hAnsi="黑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</w:rPr>
      </w:pPr>
      <w:r>
        <w:rPr>
          <w:rStyle w:val="18"/>
          <w:rFonts w:ascii="黑体" w:eastAsia="黑体" w:cs="黑体" w:hAnsi="黑体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一、总体情况</w:t>
      </w:r>
    </w:p>
    <w:p>
      <w:pPr>
        <w:pStyle w:val="17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580" w:lineRule="exact"/>
        <w:ind w:left="0" w:right="0" w:firstLine="420"/>
        <w:jc w:val="both"/>
        <w:rPr>
          <w:rFonts w:ascii="仿宋_GB2312" w:eastAsia="仿宋_GB2312" w:cs="仿宋_GB2312" w:hAnsi="微软雅黑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</w:rPr>
      </w:pPr>
      <w:r>
        <w:rPr>
          <w:rFonts w:ascii="楷体_GB2312" w:eastAsia="楷体_GB2312" w:cs="楷体_GB2312" w:hAnsi="宋体" w:hint="eastAsia"/>
          <w:b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（一）主动公开方面。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2023年我局在县委、县政府的正确领导下，认真落实国家、省、市、县关于政务公开工作决策部署，依托县政府网站，主动公开机构职能、工作动态、部门财政预决算、权责清单、政务服务事项、行政执法信息等，开设公共文化服务专栏，公开公共文化服务相关信息。</w:t>
      </w:r>
    </w:p>
    <w:p>
      <w:pPr>
        <w:pStyle w:val="17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580" w:lineRule="exact"/>
        <w:ind w:left="0" w:right="0" w:firstLine="420"/>
        <w:jc w:val="both"/>
        <w:rPr>
          <w:rFonts w:ascii="仿宋_GB2312" w:eastAsia="仿宋_GB2312" w:cs="仿宋_GB2312" w:hAnsi="微软雅黑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</w:rPr>
      </w:pPr>
      <w:r>
        <w:rPr>
          <w:rFonts w:ascii="楷体_GB2312" w:eastAsia="楷体_GB2312" w:cs="楷体_GB2312" w:hAnsi="宋体" w:hint="eastAsia"/>
          <w:b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（二）依申请公开方面。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严格按照《中华人民共和国政府信息公开条例》，规范政府信息公开申请办理工作。2023年未收到依申请公开事项。</w:t>
      </w:r>
    </w:p>
    <w:p>
      <w:pPr>
        <w:pStyle w:val="17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580" w:lineRule="exact"/>
        <w:ind w:left="0" w:right="0" w:firstLine="420"/>
        <w:jc w:val="both"/>
        <w:rPr>
          <w:rFonts w:ascii="仿宋_GB2312" w:eastAsia="仿宋_GB2312" w:cs="仿宋_GB2312" w:hAnsi="微软雅黑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</w:rPr>
      </w:pPr>
      <w:r>
        <w:rPr>
          <w:rFonts w:ascii="楷体_GB2312" w:eastAsia="楷体_GB2312" w:cs="楷体_GB2312" w:hAnsi="宋体" w:hint="eastAsia"/>
          <w:b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（三）政府信息管理方面。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建立健全信息发布、审查制度，进一步规范政府信息公开工作，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不断加强保密意识，严格遵守政务信息公开“三审制”，在政务信息发布前均进行保密审查，最大程度避免错字、漏字现象，对涉密涉敏信息进行技术处理后再发布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确保公开信息及时、准确、全面。</w:t>
      </w:r>
    </w:p>
    <w:p>
      <w:pPr>
        <w:pStyle w:val="17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580" w:lineRule="exact"/>
        <w:ind w:left="0" w:right="0" w:firstLine="420"/>
        <w:jc w:val="both"/>
        <w:rPr>
          <w:rFonts w:ascii="仿宋_GB2312" w:eastAsia="仿宋_GB2312" w:cs="仿宋_GB2312" w:hAnsi="微软雅黑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</w:rPr>
      </w:pPr>
      <w:r>
        <w:rPr>
          <w:rFonts w:ascii="楷体_GB2312" w:eastAsia="楷体_GB2312" w:cs="楷体_GB2312" w:hAnsi="宋体" w:hint="eastAsia"/>
          <w:b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（四）平台建设方面。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积极配合县政府网站做好相关栏目维护工作，及时更新充实政务信息，做到公开信息权威准确，获取便捷。</w:t>
      </w:r>
    </w:p>
    <w:p>
      <w:pPr>
        <w:pStyle w:val="17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580" w:lineRule="exact"/>
        <w:ind w:left="0" w:right="0" w:firstLine="420"/>
        <w:jc w:val="both"/>
        <w:rPr>
          <w:rFonts w:ascii="仿宋_GB2312" w:eastAsia="仿宋_GB2312" w:cs="仿宋_GB2312" w:hAnsi="微软雅黑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</w:rPr>
      </w:pPr>
      <w:r>
        <w:rPr>
          <w:rFonts w:ascii="楷体_GB2312" w:eastAsia="楷体_GB2312" w:cs="楷体_GB2312" w:hAnsi="宋体" w:hint="eastAsia"/>
          <w:b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（五）监督保障方面。</w:t>
      </w:r>
      <w:r>
        <w:rPr>
          <w:rFonts w:ascii="仿宋_GB2312" w:eastAsia="仿宋_GB2312" w:cs="仿宋_GB2312" w:hAnsi="宋体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u w:val="none"/>
          <w:bdr w:val="none" w:sz="0" w:space="0" w:color="auto"/>
          <w:shd w:val="clear" w:color="auto" w:fill="FFFFFF"/>
        </w:rPr>
        <w:t>严格按照政务公开工作相关规定，积极履行公开职责，压实责任，认真抓好业务人员学习培训，保障政府信息公开工作扎实有序推进。</w:t>
      </w:r>
      <w:bookmarkStart w:id="0" w:name="_GoBack"/>
      <w:bookmarkEnd w:id="0"/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Chars="200" w:firstLine="640"/>
        <w:jc w:val="both"/>
        <w:textAlignment w:val="auto"/>
        <w:rPr>
          <w:rFonts w:ascii="黑体" w:eastAsia="黑体" w:cs="黑体" w:hAnsi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黑体" w:hAnsi="黑体" w:hint="eastAsia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jc w:val="center"/>
        <w:tblW w:w="8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2435"/>
        <w:gridCol w:w="2435"/>
        <w:gridCol w:w="1517"/>
      </w:tblGrid>
      <w:tr>
        <w:trPr>
          <w:trHeight w:val="340"/>
        </w:trPr>
        <w:tc>
          <w:tcPr>
            <w:tcW w:w="8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3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cs="Calibri" w:hAnsi="宋体"/>
                <w:color w:val="000000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cs="Calibri" w:hAnsi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cs="Calibri" w:hAnsi="宋体"/>
                <w:color w:val="000000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40"/>
        </w:trPr>
        <w:tc>
          <w:tcPr>
            <w:tcW w:w="83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Cs w:val="21"/>
                <w:lang w:val="en-US" w:eastAsia="zh-CN"/>
              </w:rPr>
              <w:t>3600</w:t>
            </w:r>
          </w:p>
        </w:tc>
      </w:tr>
      <w:tr>
        <w:trPr>
          <w:trHeight w:val="340"/>
        </w:trPr>
        <w:tc>
          <w:tcPr>
            <w:tcW w:w="83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40"/>
        </w:trPr>
        <w:tc>
          <w:tcPr>
            <w:tcW w:w="83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0.89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黑体" w:eastAsia="黑体" w:cs="黑体" w:hAnsi="黑体" w:hint="eastAsia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jc w:val="left"/>
        <w:textAlignment w:val="auto"/>
        <w:rPr>
          <w:rFonts w:ascii="黑体" w:eastAsia="黑体" w:cs="黑体" w:hAnsi="黑体" w:hint="eastAsia"/>
          <w:b w:val="0"/>
          <w:bCs w:val="0"/>
          <w:color w:val="000000"/>
          <w:kern w:val="0"/>
          <w:sz w:val="27"/>
          <w:szCs w:val="27"/>
        </w:rPr>
      </w:pPr>
      <w:r>
        <w:rPr>
          <w:rFonts w:ascii="黑体" w:eastAsia="黑体" w:cs="黑体" w:hAnsi="黑体" w:hint="eastAsia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jc w:val="center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144"/>
        <w:gridCol w:w="943"/>
        <w:gridCol w:w="2548"/>
        <w:gridCol w:w="646"/>
        <w:gridCol w:w="638"/>
        <w:gridCol w:w="637"/>
        <w:gridCol w:w="637"/>
        <w:gridCol w:w="637"/>
        <w:gridCol w:w="637"/>
        <w:gridCol w:w="656"/>
      </w:tblGrid>
      <w:tr>
        <w:tc>
          <w:tcPr>
            <w:tcW w:w="40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cs="宋体" w:hAnsi="楷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4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c>
          <w:tcPr>
            <w:tcW w:w="40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1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40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</w:tr>
      <w:tr>
        <w:tc>
          <w:tcPr>
            <w:tcW w:w="40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c>
          <w:tcPr>
            <w:tcW w:w="40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514" w:type="dxa"/>
            <w:gridSpan w:val="2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c>
          <w:tcPr>
            <w:tcW w:w="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cs="宋体" w:hAnsi="楷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779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4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1087" w:type="dxa"/>
            <w:gridSpan w:val="2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7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3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c>
          <w:tcPr>
            <w:tcW w:w="40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ascii="黑体" w:eastAsia="黑体" w:cs="黑体" w:hAnsi="黑体" w:hint="eastAsia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ascii="黑体" w:eastAsia="黑体" w:cs="黑体" w:hAnsi="黑体" w:hint="eastAsia"/>
          <w:b w:val="0"/>
          <w:bCs w:val="0"/>
          <w:color w:val="000000"/>
          <w:kern w:val="0"/>
          <w:sz w:val="32"/>
          <w:szCs w:val="32"/>
        </w:rPr>
      </w:pPr>
      <w:r>
        <w:rPr>
          <w:rFonts w:ascii="黑体" w:eastAsia="黑体" w:cs="黑体" w:hAnsi="黑体" w:hint="eastAsia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ascii="宋体" w:eastAsia="宋体" w:cs="宋体" w:hAnsi="宋体" w:hint="eastAsia"/>
          <w:color w:val="000000"/>
          <w:kern w:val="0"/>
          <w:sz w:val="27"/>
          <w:szCs w:val="27"/>
        </w:rPr>
      </w:pPr>
    </w:p>
    <w:tbl>
      <w:tblPr>
        <w:jc w:val="center"/>
        <w:tblW w:w="8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574"/>
        <w:gridCol w:w="574"/>
        <w:gridCol w:w="574"/>
        <w:gridCol w:w="577"/>
        <w:gridCol w:w="573"/>
        <w:gridCol w:w="573"/>
        <w:gridCol w:w="574"/>
        <w:gridCol w:w="574"/>
        <w:gridCol w:w="578"/>
        <w:gridCol w:w="574"/>
        <w:gridCol w:w="574"/>
        <w:gridCol w:w="574"/>
        <w:gridCol w:w="574"/>
        <w:gridCol w:w="578"/>
      </w:tblGrid>
      <w:tr>
        <w:trPr>
          <w:trHeight w:val="299"/>
        </w:trPr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trHeight w:val="299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8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trHeight w:val="111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结果</w:t>
              <w:br/>
              <w:t>维持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结果</w:t>
              <w:br/>
              <w:t>维持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结果</w:t>
              <w:br/>
              <w:t>纠正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其他</w:t>
              <w:br/>
              <w:t>结果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尚未</w:t>
              <w:br/>
              <w:t>审结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57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cs="Calibri" w:hAnsi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Calibri" w:eastAsia="宋体" w:cs="Calibri" w:hAnsi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宋体" w:eastAsia="宋体" w:cs="宋体" w:hAnsi="宋体" w:hint="eastAsia"/>
          <w:color w:val="000000"/>
          <w:kern w:val="0"/>
          <w:sz w:val="24"/>
          <w:szCs w:val="24"/>
        </w:rPr>
      </w:pPr>
      <w:r>
        <w:rPr>
          <w:rFonts w:ascii="宋体" w:eastAsia="宋体" w:cs="宋体" w:hAnsi="宋体" w:hint="eastAsia"/>
          <w:color w:val="000000"/>
          <w:kern w:val="0"/>
          <w:sz w:val="27"/>
          <w:szCs w:val="27"/>
        </w:rPr>
        <w:br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黑体" w:eastAsia="黑体" w:cs="黑体" w:hAnsi="黑体" w:hint="eastAsia"/>
          <w:b w:val="0"/>
          <w:bCs w:val="0"/>
          <w:color w:val="000000"/>
          <w:kern w:val="0"/>
          <w:sz w:val="32"/>
          <w:szCs w:val="32"/>
        </w:rPr>
      </w:pPr>
      <w:r>
        <w:rPr>
          <w:rFonts w:ascii="黑体" w:eastAsia="黑体" w:cs="黑体" w:hAnsi="黑体" w:hint="eastAsia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_GB2312" w:eastAsia="仿宋_GB2312" w:cs="仿宋_GB2312" w:hAnsi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Ansi="仿宋_GB2312" w:hint="eastAsia"/>
          <w:color w:val="000000"/>
          <w:sz w:val="32"/>
          <w:szCs w:val="32"/>
        </w:rPr>
        <w:t>行政许可公开的</w:t>
      </w:r>
      <w:r>
        <w:rPr>
          <w:rFonts w:ascii="仿宋_GB2312" w:eastAsia="仿宋_GB2312" w:cs="仿宋_GB2312" w:hAnsi="仿宋_GB2312" w:hint="eastAsia"/>
          <w:color w:val="000000"/>
          <w:sz w:val="32"/>
          <w:szCs w:val="32"/>
          <w:lang w:val="en-US" w:eastAsia="zh-CN"/>
        </w:rPr>
        <w:t>部分</w:t>
      </w:r>
      <w:r>
        <w:rPr>
          <w:rFonts w:ascii="仿宋_GB2312" w:eastAsia="仿宋_GB2312" w:cs="仿宋_GB2312" w:hAnsi="仿宋_GB2312" w:hint="eastAsia"/>
          <w:color w:val="000000"/>
          <w:sz w:val="32"/>
          <w:szCs w:val="32"/>
        </w:rPr>
        <w:t>不及时，我局办理的行政许可业务量最多</w:t>
      </w:r>
      <w:r>
        <w:rPr>
          <w:rFonts w:ascii="仿宋_GB2312" w:eastAsia="仿宋_GB2312" w:cs="仿宋_GB2312" w:hAnsi="仿宋_GB2312" w:hint="eastAsia"/>
          <w:color w:val="000000"/>
          <w:sz w:val="32"/>
          <w:szCs w:val="32"/>
          <w:lang w:eastAsia="zh-CN"/>
        </w:rPr>
        <w:t>的</w:t>
      </w:r>
      <w:r>
        <w:rPr>
          <w:rFonts w:ascii="仿宋_GB2312" w:eastAsia="仿宋_GB2312" w:cs="仿宋_GB2312" w:hAnsi="仿宋_GB2312" w:hint="eastAsia"/>
          <w:color w:val="000000"/>
          <w:sz w:val="32"/>
          <w:szCs w:val="32"/>
        </w:rPr>
        <w:t>是动物及动物产品检疫合格证，有效期限多为1-2天，业务量大没有及时公开。</w:t>
      </w:r>
      <w:r>
        <w:rPr>
          <w:rFonts w:ascii="仿宋_GB2312" w:eastAsia="仿宋_GB2312" w:cs="仿宋_GB2312" w:hAnsi="仿宋_GB2312" w:hint="eastAsia"/>
          <w:color w:val="000000"/>
          <w:sz w:val="32"/>
          <w:szCs w:val="32"/>
          <w:shd w:val="clear" w:color="auto" w:fill="FFFFFF"/>
        </w:rPr>
        <w:t>针对以上问题严格自省自纠，按照《中华人民共和国政府信息公开条例》文件要求，以提高行政服务水平为重点，大力推进决策、执行、管理、服务、结果公开，不断提升政务公开的质量和实效。加强热点、难点公开，拓展公开内容，在贴近群众上下功夫。政务公开的热点是人、财、物公开，必须及时公开，使群众了解主要内容，接受群众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黑体" w:eastAsia="黑体" w:cs="黑体" w:hAnsi="黑体" w:hint="eastAsia"/>
          <w:b w:val="0"/>
          <w:bCs w:val="0"/>
          <w:color w:val="000000"/>
          <w:kern w:val="0"/>
          <w:sz w:val="32"/>
          <w:szCs w:val="32"/>
        </w:rPr>
      </w:pPr>
      <w:r>
        <w:rPr>
          <w:rFonts w:ascii="黑体" w:eastAsia="黑体" w:cs="黑体" w:hAnsi="黑体" w:hint="eastAsia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rPr>
          <w:rFonts w:ascii="仿宋_GB2312" w:eastAsia="仿宋_GB2312" w:cs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Ansi="仿宋_GB2312" w:hint="eastAsia"/>
          <w:color w:val="000000"/>
          <w:sz w:val="32"/>
          <w:szCs w:val="32"/>
        </w:rPr>
        <w:t xml:space="preserve">    认真贯彻执行国务院办公厅《政府信息公开信息处理费管理办法》和《关于政府信息公开处理费管理有关事项的通知》。202</w:t>
      </w:r>
      <w:r>
        <w:rPr>
          <w:rFonts w:ascii="仿宋_GB2312" w:eastAsia="仿宋_GB2312" w:cs="仿宋_GB2312" w:hAnsi="仿宋_GB2312" w:hint="eastAsia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 w:hAnsi="仿宋_GB2312" w:hint="eastAsia"/>
          <w:color w:val="000000"/>
          <w:sz w:val="32"/>
          <w:szCs w:val="32"/>
        </w:rPr>
        <w:t>年我单位未收取信息处理费。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仿宋_GB2312" w:hAnsi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Ansi="仿宋_GB2312" w:hint="eastAsia"/>
          <w:color w:val="000000"/>
          <w:sz w:val="32"/>
          <w:szCs w:val="32"/>
          <w:lang w:val="en-US" w:eastAsia="zh-CN"/>
        </w:rPr>
        <w:t xml:space="preserve">                                  </w:t>
      </w:r>
    </w:p>
    <w:sectPr>
      <w:pgSz w:w="11906" w:h="16838"/>
      <w:pgMar w:top="2098" w:right="1800" w:bottom="1984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jhiMDI3MjZiNDgxMTRjODc5YTZiZDNmNjY5NDQ3YT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 w:hAnsi="宋体"/>
      <w:kern w:val="0"/>
      <w:sz w:val="24"/>
      <w:szCs w:val="24"/>
    </w:rPr>
  </w:style>
  <w:style w:type="character" w:styleId="18">
    <w:name w:val="Strong"/>
    <w:basedOn w:val="1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39F45808-CD08-4469-A11E-FA9CBADE143A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72</TotalTime>
  <Application>Yozo_Office27021597764231179</Application>
  <Pages>4</Pages>
  <Words>0</Words>
  <Characters>1688</Characters>
  <Lines>0</Lines>
  <Paragraphs>25</Paragraphs>
  <CharactersWithSpaces>2251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2</cp:revision>
  <cp:lastPrinted>2024-01-15T01:57:00Z</cp:lastPrinted>
  <dcterms:created xsi:type="dcterms:W3CDTF">2022-01-18T02:06:00Z</dcterms:created>
  <dcterms:modified xsi:type="dcterms:W3CDTF">2024-01-29T01:37:54Z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2D94D85F44BE4BE3A7FA6D20CBD0046E_13</vt:lpwstr>
  </property>
</Properties>
</file>