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3" w:name="_GoBack"/>
      <w:bookmarkEnd w:id="3"/>
    </w:p>
    <w:p>
      <w:pPr>
        <w:jc w:val="center"/>
      </w:pPr>
      <w:r>
        <w:rPr>
          <w:rFonts w:hint="eastAsia" w:ascii="黑体" w:hAnsi="黑体" w:eastAsia="黑体" w:cs="黑体"/>
          <w:b/>
          <w:color w:val="000000"/>
          <w:sz w:val="30"/>
          <w:lang w:eastAsia="zh-CN"/>
        </w:rPr>
        <w:t>涞水县胡家庄乡人民政府</w:t>
      </w:r>
      <w:r>
        <w:rPr>
          <w:rFonts w:hint="eastAsia" w:ascii="黑体" w:hAnsi="黑体" w:eastAsia="黑体" w:cs="黑体"/>
          <w:b/>
          <w:color w:val="000000"/>
          <w:sz w:val="30"/>
        </w:rPr>
        <w:t>所属单位预算</w:t>
      </w:r>
    </w:p>
    <w:p>
      <w:pPr>
        <w:pStyle w:val="6"/>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涞水县胡家庄乡人民政府</w:t>
      </w:r>
      <w:r>
        <w:rPr>
          <w:rFonts w:hint="eastAsia"/>
        </w:rPr>
        <w:t>（本级）收支预算</w:t>
      </w:r>
      <w:r>
        <w:tab/>
      </w:r>
      <w:r>
        <w:fldChar w:fldCharType="begin"/>
      </w:r>
      <w:r>
        <w:instrText xml:space="preserve">PAGEREF _Toc_4_4_0000000019 \h</w:instrText>
      </w:r>
      <w:r>
        <w:fldChar w:fldCharType="separate"/>
      </w:r>
      <w:r>
        <w:t>1</w:t>
      </w:r>
      <w:r>
        <w:fldChar w:fldCharType="end"/>
      </w:r>
      <w:r>
        <w:fldChar w:fldCharType="end"/>
      </w:r>
    </w:p>
    <w:p>
      <w:pPr>
        <w:pStyle w:val="6"/>
        <w:tabs>
          <w:tab w:val="right" w:leader="dot" w:pos="14562"/>
        </w:tabs>
      </w:pPr>
      <w:r>
        <w:fldChar w:fldCharType="begin"/>
      </w:r>
      <w:r>
        <w:instrText xml:space="preserve"> HYPERLINK \l "_Toc_4_4_0000000020" </w:instrText>
      </w:r>
      <w:r>
        <w:fldChar w:fldCharType="separate"/>
      </w:r>
      <w:r>
        <w:rPr>
          <w:rFonts w:hint="eastAsia"/>
        </w:rPr>
        <w:t>二、</w:t>
      </w:r>
      <w:r>
        <w:rPr>
          <w:rFonts w:hint="eastAsia"/>
          <w:lang w:eastAsia="zh-CN"/>
        </w:rPr>
        <w:t>涞水县胡家庄乡人民政府</w:t>
      </w:r>
      <w:r>
        <w:rPr>
          <w:rFonts w:hint="eastAsia"/>
        </w:rPr>
        <w:t>收支预算</w:t>
      </w:r>
      <w:r>
        <w:tab/>
      </w:r>
      <w:r>
        <w:rPr>
          <w:lang w:eastAsia="zh-CN"/>
        </w:rPr>
        <w:t>2</w:t>
      </w:r>
      <w:r>
        <w:rPr>
          <w:rFonts w:hint="eastAsia"/>
          <w:lang w:eastAsia="zh-CN"/>
        </w:rPr>
        <w:t>5</w:t>
      </w:r>
      <w:r>
        <w:rPr>
          <w:rFonts w:hint="eastAsia"/>
          <w:lang w:eastAsia="zh-CN"/>
        </w:rPr>
        <w:fldChar w:fldCharType="end"/>
      </w: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cente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涞水县胡家庄乡人民政府</w:t>
      </w:r>
      <w:r>
        <w:rPr>
          <w:rFonts w:hint="eastAsia" w:ascii="方正小标宋_GBK" w:hAnsi="方正小标宋_GBK" w:eastAsia="方正小标宋_GBK" w:cs="方正小标宋_GBK"/>
          <w:color w:val="000000"/>
          <w:sz w:val="44"/>
        </w:rPr>
        <w:t>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809001涞水县胡家庄乡人民政府本级</w:t>
            </w:r>
          </w:p>
        </w:tc>
        <w:tc>
          <w:tcPr>
            <w:tcW w:w="2126"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6661" w:type="dxa"/>
            <w:gridSpan w:val="2"/>
            <w:vAlign w:val="center"/>
          </w:tcPr>
          <w:p>
            <w:pPr>
              <w:pStyle w:val="16"/>
            </w:pPr>
            <w:r>
              <w:rPr>
                <w:rFonts w:hint="eastAsia"/>
              </w:rPr>
              <w:t>收入</w:t>
            </w:r>
          </w:p>
        </w:tc>
        <w:tc>
          <w:tcPr>
            <w:tcW w:w="6661" w:type="dxa"/>
            <w:gridSpan w:val="2"/>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c>
          <w:tcPr>
            <w:tcW w:w="4535"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4535"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5" w:type="dxa"/>
            <w:vAlign w:val="center"/>
          </w:tcPr>
          <w:p>
            <w:pPr>
              <w:pStyle w:val="18"/>
            </w:pPr>
            <w:r>
              <w:rPr>
                <w:rFonts w:hint="eastAsia"/>
              </w:rPr>
              <w:t>一、一般公共预算拨款收入</w:t>
            </w:r>
          </w:p>
        </w:tc>
        <w:tc>
          <w:tcPr>
            <w:tcW w:w="2126" w:type="dxa"/>
            <w:vAlign w:val="center"/>
          </w:tcPr>
          <w:p>
            <w:pPr>
              <w:pStyle w:val="17"/>
              <w:rPr>
                <w:rFonts w:hint="default" w:eastAsia="方正书宋_GBK"/>
                <w:lang w:val="en-US" w:eastAsia="zh-CN"/>
              </w:rPr>
            </w:pPr>
            <w:r>
              <w:rPr>
                <w:rFonts w:hint="eastAsia"/>
                <w:lang w:val="en-US" w:eastAsia="zh-CN"/>
              </w:rPr>
              <w:t>327.98</w:t>
            </w:r>
          </w:p>
        </w:tc>
        <w:tc>
          <w:tcPr>
            <w:tcW w:w="4535" w:type="dxa"/>
            <w:vAlign w:val="center"/>
          </w:tcPr>
          <w:p>
            <w:pPr>
              <w:pStyle w:val="18"/>
            </w:pPr>
            <w:r>
              <w:rPr>
                <w:rFonts w:hint="eastAsia"/>
              </w:rPr>
              <w:t>一、一般公共服务支出</w:t>
            </w:r>
          </w:p>
        </w:tc>
        <w:tc>
          <w:tcPr>
            <w:tcW w:w="2126" w:type="dxa"/>
            <w:vAlign w:val="center"/>
          </w:tcPr>
          <w:p>
            <w:pPr>
              <w:pStyle w:val="17"/>
              <w:rPr>
                <w:rFonts w:hint="default" w:eastAsia="方正书宋_GBK"/>
                <w:lang w:val="en-US" w:eastAsia="zh-CN"/>
              </w:rPr>
            </w:pPr>
            <w:r>
              <w:rPr>
                <w:rFonts w:hint="eastAsia"/>
                <w:lang w:val="en-US" w:eastAsia="zh-CN"/>
              </w:rPr>
              <w:t>277.13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5" w:type="dxa"/>
            <w:vAlign w:val="center"/>
          </w:tcPr>
          <w:p>
            <w:pPr>
              <w:pStyle w:val="18"/>
            </w:pPr>
            <w:r>
              <w:rPr>
                <w:rFonts w:hint="eastAsia"/>
              </w:rPr>
              <w:t>二、政府性基金预算拨款收入</w:t>
            </w:r>
          </w:p>
        </w:tc>
        <w:tc>
          <w:tcPr>
            <w:tcW w:w="2126" w:type="dxa"/>
            <w:vAlign w:val="center"/>
          </w:tcPr>
          <w:p>
            <w:pPr>
              <w:pStyle w:val="17"/>
            </w:pPr>
          </w:p>
        </w:tc>
        <w:tc>
          <w:tcPr>
            <w:tcW w:w="4535" w:type="dxa"/>
            <w:vAlign w:val="center"/>
          </w:tcPr>
          <w:p>
            <w:pPr>
              <w:pStyle w:val="18"/>
            </w:pPr>
            <w:r>
              <w:rPr>
                <w:rFonts w:hint="eastAsia"/>
              </w:rPr>
              <w:t>二、外交支出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5" w:type="dxa"/>
            <w:vAlign w:val="center"/>
          </w:tcPr>
          <w:p>
            <w:pPr>
              <w:pStyle w:val="18"/>
            </w:pPr>
            <w:r>
              <w:rPr>
                <w:rFonts w:hint="eastAsia"/>
              </w:rPr>
              <w:t>三、国有资本经营预算拨款收入</w:t>
            </w:r>
          </w:p>
        </w:tc>
        <w:tc>
          <w:tcPr>
            <w:tcW w:w="2126" w:type="dxa"/>
            <w:vAlign w:val="center"/>
          </w:tcPr>
          <w:p>
            <w:pPr>
              <w:pStyle w:val="17"/>
            </w:pPr>
          </w:p>
        </w:tc>
        <w:tc>
          <w:tcPr>
            <w:tcW w:w="4535" w:type="dxa"/>
            <w:vAlign w:val="center"/>
          </w:tcPr>
          <w:p>
            <w:pPr>
              <w:pStyle w:val="18"/>
            </w:pPr>
            <w:r>
              <w:rPr>
                <w:rFonts w:hint="eastAsia"/>
              </w:rPr>
              <w:t>三、国防支出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5" w:type="dxa"/>
            <w:vAlign w:val="center"/>
          </w:tcPr>
          <w:p>
            <w:pPr>
              <w:pStyle w:val="18"/>
            </w:pPr>
            <w:r>
              <w:rPr>
                <w:rFonts w:hint="eastAsia"/>
              </w:rPr>
              <w:t>四、财政专户管理资金收入</w:t>
            </w:r>
          </w:p>
        </w:tc>
        <w:tc>
          <w:tcPr>
            <w:tcW w:w="2126" w:type="dxa"/>
            <w:vAlign w:val="center"/>
          </w:tcPr>
          <w:p>
            <w:pPr>
              <w:pStyle w:val="17"/>
            </w:pPr>
          </w:p>
        </w:tc>
        <w:tc>
          <w:tcPr>
            <w:tcW w:w="4535" w:type="dxa"/>
            <w:vAlign w:val="center"/>
          </w:tcPr>
          <w:p>
            <w:pPr>
              <w:pStyle w:val="18"/>
            </w:pPr>
            <w:r>
              <w:rPr>
                <w:rFonts w:hint="eastAsia"/>
              </w:rPr>
              <w:t>四、公共安全支出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5" w:type="dxa"/>
            <w:vAlign w:val="center"/>
          </w:tcPr>
          <w:p>
            <w:pPr>
              <w:pStyle w:val="18"/>
            </w:pPr>
            <w:r>
              <w:rPr>
                <w:rFonts w:hint="eastAsia"/>
              </w:rPr>
              <w:t>五、事业收入</w:t>
            </w:r>
          </w:p>
        </w:tc>
        <w:tc>
          <w:tcPr>
            <w:tcW w:w="2126" w:type="dxa"/>
            <w:vAlign w:val="center"/>
          </w:tcPr>
          <w:p>
            <w:pPr>
              <w:pStyle w:val="17"/>
            </w:pPr>
          </w:p>
        </w:tc>
        <w:tc>
          <w:tcPr>
            <w:tcW w:w="4535" w:type="dxa"/>
            <w:vAlign w:val="center"/>
          </w:tcPr>
          <w:p>
            <w:pPr>
              <w:pStyle w:val="18"/>
            </w:pPr>
            <w:r>
              <w:rPr>
                <w:rFonts w:hint="eastAsia"/>
              </w:rPr>
              <w:t>五、教育支出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5" w:type="dxa"/>
            <w:vAlign w:val="center"/>
          </w:tcPr>
          <w:p>
            <w:pPr>
              <w:pStyle w:val="18"/>
            </w:pPr>
            <w:r>
              <w:rPr>
                <w:rFonts w:hint="eastAsia"/>
              </w:rPr>
              <w:t>六、事业单位经营收入</w:t>
            </w:r>
          </w:p>
        </w:tc>
        <w:tc>
          <w:tcPr>
            <w:tcW w:w="2126" w:type="dxa"/>
            <w:vAlign w:val="center"/>
          </w:tcPr>
          <w:p>
            <w:pPr>
              <w:pStyle w:val="17"/>
            </w:pPr>
          </w:p>
        </w:tc>
        <w:tc>
          <w:tcPr>
            <w:tcW w:w="4535" w:type="dxa"/>
            <w:vAlign w:val="center"/>
          </w:tcPr>
          <w:p>
            <w:pPr>
              <w:pStyle w:val="18"/>
            </w:pPr>
            <w:r>
              <w:rPr>
                <w:rFonts w:hint="eastAsia"/>
              </w:rPr>
              <w:t>六、科学技术支出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5" w:type="dxa"/>
            <w:vAlign w:val="center"/>
          </w:tcPr>
          <w:p>
            <w:pPr>
              <w:pStyle w:val="18"/>
            </w:pPr>
            <w:r>
              <w:rPr>
                <w:rFonts w:hint="eastAsia"/>
              </w:rPr>
              <w:t>七、上级补助收入</w:t>
            </w:r>
          </w:p>
        </w:tc>
        <w:tc>
          <w:tcPr>
            <w:tcW w:w="2126" w:type="dxa"/>
            <w:vAlign w:val="center"/>
          </w:tcPr>
          <w:p>
            <w:pPr>
              <w:pStyle w:val="17"/>
            </w:pPr>
          </w:p>
        </w:tc>
        <w:tc>
          <w:tcPr>
            <w:tcW w:w="4535" w:type="dxa"/>
            <w:vAlign w:val="center"/>
          </w:tcPr>
          <w:p>
            <w:pPr>
              <w:pStyle w:val="18"/>
            </w:pPr>
            <w:r>
              <w:rPr>
                <w:rFonts w:hint="eastAsia"/>
              </w:rPr>
              <w:t>七、文化旅游体育与传媒支出</w:t>
            </w:r>
          </w:p>
        </w:tc>
        <w:tc>
          <w:tcPr>
            <w:tcW w:w="2126" w:type="dxa"/>
            <w:vAlign w:val="center"/>
          </w:tcPr>
          <w:p>
            <w:pPr>
              <w:pStyle w:val="17"/>
              <w:rPr>
                <w:rFonts w:hint="default" w:eastAsia="方正书宋_GBK"/>
                <w:lang w:val="en-US" w:eastAsia="zh-CN"/>
              </w:rPr>
            </w:pPr>
            <w:r>
              <w:rPr>
                <w:rFonts w:hint="eastAsia"/>
                <w:lang w:val="en-US"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5" w:type="dxa"/>
            <w:vAlign w:val="center"/>
          </w:tcPr>
          <w:p>
            <w:pPr>
              <w:pStyle w:val="18"/>
            </w:pPr>
            <w:r>
              <w:rPr>
                <w:rFonts w:hint="eastAsia"/>
              </w:rPr>
              <w:t>八、附属单位上缴收入</w:t>
            </w:r>
          </w:p>
        </w:tc>
        <w:tc>
          <w:tcPr>
            <w:tcW w:w="2126" w:type="dxa"/>
            <w:vAlign w:val="center"/>
          </w:tcPr>
          <w:p>
            <w:pPr>
              <w:pStyle w:val="17"/>
            </w:pPr>
          </w:p>
        </w:tc>
        <w:tc>
          <w:tcPr>
            <w:tcW w:w="4535" w:type="dxa"/>
            <w:vAlign w:val="center"/>
          </w:tcPr>
          <w:p>
            <w:pPr>
              <w:pStyle w:val="18"/>
            </w:pPr>
            <w:r>
              <w:rPr>
                <w:rFonts w:hint="eastAsia"/>
              </w:rPr>
              <w:t>八、社会保障和就业支出</w:t>
            </w:r>
          </w:p>
        </w:tc>
        <w:tc>
          <w:tcPr>
            <w:tcW w:w="2126" w:type="dxa"/>
            <w:vAlign w:val="center"/>
          </w:tcPr>
          <w:p>
            <w:pPr>
              <w:pStyle w:val="17"/>
              <w:rPr>
                <w:rFonts w:hint="default" w:eastAsia="方正书宋_GBK"/>
                <w:lang w:val="en-US" w:eastAsia="zh-CN"/>
              </w:rPr>
            </w:pPr>
            <w:r>
              <w:rPr>
                <w:rFonts w:hint="eastAsia"/>
                <w:lang w:val="en-US" w:eastAsia="zh-CN"/>
              </w:rPr>
              <w:t>24.94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5" w:type="dxa"/>
            <w:vAlign w:val="center"/>
          </w:tcPr>
          <w:p>
            <w:pPr>
              <w:pStyle w:val="18"/>
            </w:pPr>
            <w:r>
              <w:rPr>
                <w:rFonts w:hint="eastAsia"/>
              </w:rPr>
              <w:t>九、其他收入</w:t>
            </w:r>
          </w:p>
        </w:tc>
        <w:tc>
          <w:tcPr>
            <w:tcW w:w="2126" w:type="dxa"/>
            <w:vAlign w:val="center"/>
          </w:tcPr>
          <w:p>
            <w:pPr>
              <w:pStyle w:val="17"/>
            </w:pPr>
          </w:p>
        </w:tc>
        <w:tc>
          <w:tcPr>
            <w:tcW w:w="4535" w:type="dxa"/>
            <w:vAlign w:val="center"/>
          </w:tcPr>
          <w:p>
            <w:pPr>
              <w:pStyle w:val="18"/>
            </w:pPr>
            <w:r>
              <w:rPr>
                <w:rFonts w:hint="eastAsia"/>
              </w:rPr>
              <w:t>九、社会保险基金支出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十、卫生健康支出</w:t>
            </w:r>
          </w:p>
        </w:tc>
        <w:tc>
          <w:tcPr>
            <w:tcW w:w="2126" w:type="dxa"/>
            <w:vAlign w:val="center"/>
          </w:tcPr>
          <w:p>
            <w:pPr>
              <w:pStyle w:val="17"/>
              <w:rPr>
                <w:rFonts w:hint="default" w:eastAsia="方正书宋_GBK"/>
                <w:lang w:val="en-US" w:eastAsia="zh-CN"/>
              </w:rPr>
            </w:pPr>
            <w:r>
              <w:rPr>
                <w:rFonts w:hint="eastAsia"/>
                <w:lang w:val="en-US" w:eastAsia="zh-CN"/>
              </w:rPr>
              <w:t>9.41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二十、住房保障支出</w:t>
            </w:r>
          </w:p>
        </w:tc>
        <w:tc>
          <w:tcPr>
            <w:tcW w:w="2126" w:type="dxa"/>
            <w:vAlign w:val="center"/>
          </w:tcPr>
          <w:p>
            <w:pPr>
              <w:pStyle w:val="17"/>
              <w:rPr>
                <w:rFonts w:hint="default" w:eastAsia="方正书宋_GBK"/>
                <w:lang w:val="en-US" w:eastAsia="zh-CN"/>
              </w:rPr>
            </w:pPr>
            <w:r>
              <w:rPr>
                <w:rFonts w:hint="eastAsia"/>
                <w:lang w:val="en-US" w:eastAsia="zh-CN"/>
              </w:rPr>
              <w:t>14.75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二十一、粮油物资储备支出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二十二、国有资本经营预算支出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二十三、灾害防治及应急管理支出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二十四、预备费</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二十五、其他支出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二十六、转移性支出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二十七、债务还本支出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二十八、债务付息支出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二十九、债务发行费用支出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三十、抗疫特别国债安排的支出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5" w:type="dxa"/>
            <w:vAlign w:val="center"/>
          </w:tcPr>
          <w:p>
            <w:pPr>
              <w:pStyle w:val="20"/>
            </w:pPr>
            <w:r>
              <w:rPr>
                <w:rFonts w:hint="eastAsia"/>
              </w:rPr>
              <w:t>本年收入合计</w:t>
            </w:r>
          </w:p>
        </w:tc>
        <w:tc>
          <w:tcPr>
            <w:tcW w:w="2126" w:type="dxa"/>
            <w:vAlign w:val="center"/>
          </w:tcPr>
          <w:p>
            <w:pPr>
              <w:pStyle w:val="21"/>
              <w:rPr>
                <w:rFonts w:hint="default" w:eastAsia="方正书宋_GBK"/>
                <w:lang w:val="en-US" w:eastAsia="zh-CN"/>
              </w:rPr>
            </w:pPr>
            <w:r>
              <w:rPr>
                <w:rFonts w:hint="eastAsia"/>
                <w:lang w:val="en-US" w:eastAsia="zh-CN"/>
              </w:rPr>
              <w:t>327.98</w:t>
            </w:r>
          </w:p>
        </w:tc>
        <w:tc>
          <w:tcPr>
            <w:tcW w:w="4535" w:type="dxa"/>
            <w:vAlign w:val="center"/>
          </w:tcPr>
          <w:p>
            <w:pPr>
              <w:pStyle w:val="20"/>
              <w:rPr>
                <w:rFonts w:hint="default"/>
                <w:lang w:val="en-US"/>
              </w:rPr>
            </w:pPr>
          </w:p>
        </w:tc>
        <w:tc>
          <w:tcPr>
            <w:tcW w:w="2126" w:type="dxa"/>
            <w:vAlign w:val="center"/>
          </w:tcPr>
          <w:p>
            <w:pPr>
              <w:pStyle w:val="21"/>
              <w:rPr>
                <w:rFonts w:hint="default" w:eastAsia="方正书宋_GBK"/>
                <w:lang w:val="en-US" w:eastAsia="zh-CN"/>
              </w:rPr>
            </w:pPr>
            <w:r>
              <w:rPr>
                <w:rFonts w:hint="eastAsia"/>
                <w:lang w:val="en-US" w:eastAsia="zh-CN"/>
              </w:rPr>
              <w:t>327.98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5" w:type="dxa"/>
            <w:vAlign w:val="center"/>
          </w:tcPr>
          <w:p>
            <w:pPr>
              <w:pStyle w:val="18"/>
            </w:pPr>
            <w:r>
              <w:rPr>
                <w:rFonts w:hint="eastAsia"/>
              </w:rPr>
              <w:t>上年结转结余</w:t>
            </w:r>
          </w:p>
        </w:tc>
        <w:tc>
          <w:tcPr>
            <w:tcW w:w="2126" w:type="dxa"/>
            <w:vAlign w:val="center"/>
          </w:tcPr>
          <w:p>
            <w:pPr>
              <w:pStyle w:val="17"/>
            </w:pPr>
          </w:p>
        </w:tc>
        <w:tc>
          <w:tcPr>
            <w:tcW w:w="4535" w:type="dxa"/>
            <w:vAlign w:val="center"/>
          </w:tcPr>
          <w:p>
            <w:pPr>
              <w:pStyle w:val="18"/>
            </w:pPr>
            <w:r>
              <w:rPr>
                <w:rFonts w:hint="eastAsia"/>
              </w:rPr>
              <w:t>年终结转结余</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5" w:type="dxa"/>
            <w:vAlign w:val="center"/>
          </w:tcPr>
          <w:p>
            <w:pPr>
              <w:pStyle w:val="20"/>
            </w:pPr>
            <w:r>
              <w:rPr>
                <w:rFonts w:hint="eastAsia"/>
              </w:rPr>
              <w:t>收入总计</w:t>
            </w:r>
          </w:p>
        </w:tc>
        <w:tc>
          <w:tcPr>
            <w:tcW w:w="2126" w:type="dxa"/>
            <w:vAlign w:val="center"/>
          </w:tcPr>
          <w:p>
            <w:pPr>
              <w:pStyle w:val="21"/>
              <w:rPr>
                <w:rFonts w:hint="default" w:eastAsia="方正书宋_GBK"/>
                <w:lang w:val="en-US" w:eastAsia="zh-CN"/>
              </w:rPr>
            </w:pPr>
            <w:r>
              <w:rPr>
                <w:rFonts w:hint="eastAsia"/>
                <w:lang w:val="en-US" w:eastAsia="zh-CN"/>
              </w:rPr>
              <w:t>327.98</w:t>
            </w:r>
          </w:p>
        </w:tc>
        <w:tc>
          <w:tcPr>
            <w:tcW w:w="4535" w:type="dxa"/>
            <w:vAlign w:val="center"/>
          </w:tcPr>
          <w:p>
            <w:pPr>
              <w:pStyle w:val="20"/>
            </w:pPr>
            <w:r>
              <w:rPr>
                <w:rFonts w:hint="eastAsia"/>
              </w:rPr>
              <w:t>支出总计</w:t>
            </w:r>
          </w:p>
        </w:tc>
        <w:tc>
          <w:tcPr>
            <w:tcW w:w="2126" w:type="dxa"/>
            <w:vAlign w:val="center"/>
          </w:tcPr>
          <w:p>
            <w:pPr>
              <w:pStyle w:val="21"/>
              <w:rPr>
                <w:rFonts w:hint="default" w:eastAsia="方正书宋_GBK"/>
                <w:lang w:val="en-US" w:eastAsia="zh-CN"/>
              </w:rPr>
            </w:pPr>
            <w:r>
              <w:rPr>
                <w:rFonts w:hint="eastAsia"/>
                <w:lang w:val="en-US" w:eastAsia="zh-CN"/>
              </w:rPr>
              <w:t>327.98</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start="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809001涞水县胡家庄乡人民政府本级</w:t>
            </w:r>
          </w:p>
        </w:tc>
        <w:tc>
          <w:tcPr>
            <w:tcW w:w="3402" w:type="dxa"/>
            <w:gridSpan w:val="3"/>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670" w:type="dxa"/>
            <w:gridSpan w:val="5"/>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rPr>
                <w:rFonts w:hint="eastAsia"/>
              </w:rPr>
              <w:t>序号</w:t>
            </w:r>
          </w:p>
        </w:tc>
        <w:tc>
          <w:tcPr>
            <w:tcW w:w="2551" w:type="dxa"/>
            <w:gridSpan w:val="2"/>
            <w:vAlign w:val="center"/>
          </w:tcPr>
          <w:p>
            <w:pPr>
              <w:pStyle w:val="16"/>
            </w:pPr>
            <w:r>
              <w:rPr>
                <w:rFonts w:hint="eastAsia"/>
              </w:rPr>
              <w:t>功能分类科目</w:t>
            </w:r>
          </w:p>
        </w:tc>
        <w:tc>
          <w:tcPr>
            <w:tcW w:w="1134" w:type="dxa"/>
            <w:vMerge w:val="restart"/>
            <w:vAlign w:val="center"/>
          </w:tcPr>
          <w:p>
            <w:pPr>
              <w:pStyle w:val="16"/>
            </w:pPr>
            <w:r>
              <w:rPr>
                <w:rFonts w:hint="eastAsia"/>
              </w:rPr>
              <w:t>合计</w:t>
            </w:r>
          </w:p>
        </w:tc>
        <w:tc>
          <w:tcPr>
            <w:tcW w:w="9072" w:type="dxa"/>
            <w:gridSpan w:val="8"/>
            <w:vAlign w:val="center"/>
          </w:tcPr>
          <w:p>
            <w:pPr>
              <w:pStyle w:val="16"/>
            </w:pPr>
            <w:r>
              <w:rPr>
                <w:rFonts w:hint="eastAsia"/>
              </w:rPr>
              <w:t>本年收入</w:t>
            </w:r>
          </w:p>
        </w:tc>
        <w:tc>
          <w:tcPr>
            <w:tcW w:w="1134" w:type="dxa"/>
            <w:vMerge w:val="restart"/>
            <w:vAlign w:val="center"/>
          </w:tcPr>
          <w:p>
            <w:pPr>
              <w:pStyle w:val="16"/>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6"/>
            </w:pPr>
            <w:r>
              <w:rPr>
                <w:rFonts w:hint="eastAsia"/>
              </w:rPr>
              <w:t>科目</w:t>
            </w:r>
            <w:r>
              <w:t xml:space="preserve">    </w:t>
            </w:r>
            <w:r>
              <w:rPr>
                <w:rFonts w:hint="eastAsia"/>
              </w:rPr>
              <w:t>编码</w:t>
            </w:r>
          </w:p>
        </w:tc>
        <w:tc>
          <w:tcPr>
            <w:tcW w:w="1559" w:type="dxa"/>
            <w:vAlign w:val="center"/>
          </w:tcPr>
          <w:p>
            <w:pPr>
              <w:pStyle w:val="16"/>
            </w:pPr>
            <w:r>
              <w:rPr>
                <w:rFonts w:hint="eastAsia"/>
              </w:rPr>
              <w:t>科目名称</w:t>
            </w:r>
          </w:p>
        </w:tc>
        <w:tc>
          <w:tcPr>
            <w:tcW w:w="1134" w:type="dxa"/>
            <w:vMerge w:val="continue"/>
          </w:tcPr>
          <w:p/>
        </w:tc>
        <w:tc>
          <w:tcPr>
            <w:tcW w:w="1134" w:type="dxa"/>
            <w:vAlign w:val="center"/>
          </w:tcPr>
          <w:p>
            <w:pPr>
              <w:pStyle w:val="16"/>
            </w:pPr>
            <w:r>
              <w:rPr>
                <w:rFonts w:hint="eastAsia"/>
              </w:rPr>
              <w:t>小计</w:t>
            </w:r>
          </w:p>
        </w:tc>
        <w:tc>
          <w:tcPr>
            <w:tcW w:w="1134" w:type="dxa"/>
            <w:vAlign w:val="center"/>
          </w:tcPr>
          <w:p>
            <w:pPr>
              <w:pStyle w:val="16"/>
            </w:pPr>
            <w:r>
              <w:rPr>
                <w:rFonts w:hint="eastAsia"/>
              </w:rPr>
              <w:t>财政拨款</w:t>
            </w:r>
            <w:r>
              <w:t xml:space="preserve"> </w:t>
            </w:r>
            <w:r>
              <w:rPr>
                <w:rFonts w:hint="eastAsia"/>
              </w:rPr>
              <w:t>收入</w:t>
            </w:r>
          </w:p>
        </w:tc>
        <w:tc>
          <w:tcPr>
            <w:tcW w:w="1134" w:type="dxa"/>
            <w:vAlign w:val="center"/>
          </w:tcPr>
          <w:p>
            <w:pPr>
              <w:pStyle w:val="16"/>
            </w:pPr>
            <w:r>
              <w:rPr>
                <w:rFonts w:hint="eastAsia"/>
              </w:rPr>
              <w:t>财政专户</w:t>
            </w:r>
            <w:r>
              <w:t xml:space="preserve"> </w:t>
            </w:r>
            <w:r>
              <w:rPr>
                <w:rFonts w:hint="eastAsia"/>
              </w:rPr>
              <w:t>收入</w:t>
            </w:r>
          </w:p>
        </w:tc>
        <w:tc>
          <w:tcPr>
            <w:tcW w:w="1134" w:type="dxa"/>
            <w:vAlign w:val="center"/>
          </w:tcPr>
          <w:p>
            <w:pPr>
              <w:pStyle w:val="16"/>
            </w:pPr>
            <w:r>
              <w:rPr>
                <w:rFonts w:hint="eastAsia"/>
              </w:rPr>
              <w:t>事业收入</w:t>
            </w:r>
          </w:p>
        </w:tc>
        <w:tc>
          <w:tcPr>
            <w:tcW w:w="1134" w:type="dxa"/>
            <w:vAlign w:val="center"/>
          </w:tcPr>
          <w:p>
            <w:pPr>
              <w:pStyle w:val="16"/>
            </w:pPr>
            <w:r>
              <w:rPr>
                <w:rFonts w:hint="eastAsia"/>
              </w:rPr>
              <w:t>经营收入</w:t>
            </w:r>
          </w:p>
        </w:tc>
        <w:tc>
          <w:tcPr>
            <w:tcW w:w="1134" w:type="dxa"/>
            <w:vAlign w:val="center"/>
          </w:tcPr>
          <w:p>
            <w:pPr>
              <w:pStyle w:val="16"/>
            </w:pPr>
            <w:r>
              <w:rPr>
                <w:rFonts w:hint="eastAsia"/>
              </w:rPr>
              <w:t>上级补助收入</w:t>
            </w:r>
          </w:p>
        </w:tc>
        <w:tc>
          <w:tcPr>
            <w:tcW w:w="1134" w:type="dxa"/>
            <w:vAlign w:val="center"/>
          </w:tcPr>
          <w:p>
            <w:pPr>
              <w:pStyle w:val="16"/>
            </w:pPr>
            <w:r>
              <w:rPr>
                <w:rFonts w:hint="eastAsia"/>
              </w:rPr>
              <w:t>附属单位上缴收入</w:t>
            </w:r>
          </w:p>
        </w:tc>
        <w:tc>
          <w:tcPr>
            <w:tcW w:w="1134" w:type="dxa"/>
            <w:vAlign w:val="center"/>
          </w:tcPr>
          <w:p>
            <w:pPr>
              <w:pStyle w:val="16"/>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pPr>
            <w:r>
              <w:rPr>
                <w:rFonts w:hint="eastAsia"/>
              </w:rPr>
              <w:t>栏次</w:t>
            </w:r>
          </w:p>
        </w:tc>
        <w:tc>
          <w:tcPr>
            <w:tcW w:w="992" w:type="dxa"/>
            <w:vAlign w:val="center"/>
          </w:tcPr>
          <w:p>
            <w:pPr>
              <w:pStyle w:val="16"/>
            </w:pPr>
            <w:r>
              <w:t>1</w:t>
            </w:r>
          </w:p>
        </w:tc>
        <w:tc>
          <w:tcPr>
            <w:tcW w:w="1559" w:type="dxa"/>
            <w:vAlign w:val="center"/>
          </w:tcPr>
          <w:p>
            <w:pPr>
              <w:pStyle w:val="16"/>
            </w:pPr>
            <w:r>
              <w:t>2</w:t>
            </w:r>
          </w:p>
        </w:tc>
        <w:tc>
          <w:tcPr>
            <w:tcW w:w="1134" w:type="dxa"/>
            <w:vAlign w:val="center"/>
          </w:tcPr>
          <w:p>
            <w:pPr>
              <w:pStyle w:val="16"/>
            </w:pPr>
            <w:r>
              <w:t>3</w:t>
            </w:r>
          </w:p>
        </w:tc>
        <w:tc>
          <w:tcPr>
            <w:tcW w:w="1134" w:type="dxa"/>
            <w:vAlign w:val="center"/>
          </w:tcPr>
          <w:p>
            <w:pPr>
              <w:pStyle w:val="16"/>
            </w:pPr>
            <w:r>
              <w:t>4</w:t>
            </w:r>
          </w:p>
        </w:tc>
        <w:tc>
          <w:tcPr>
            <w:tcW w:w="1134"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w:t>
            </w:r>
          </w:p>
        </w:tc>
        <w:tc>
          <w:tcPr>
            <w:tcW w:w="992" w:type="dxa"/>
            <w:vAlign w:val="center"/>
          </w:tcPr>
          <w:p>
            <w:pPr>
              <w:pStyle w:val="22"/>
            </w:pPr>
          </w:p>
        </w:tc>
        <w:tc>
          <w:tcPr>
            <w:tcW w:w="1559" w:type="dxa"/>
            <w:vAlign w:val="center"/>
          </w:tcPr>
          <w:p>
            <w:pPr>
              <w:pStyle w:val="20"/>
            </w:pPr>
            <w:r>
              <w:rPr>
                <w:rFonts w:hint="eastAsia"/>
              </w:rPr>
              <w:t>合计</w:t>
            </w:r>
          </w:p>
        </w:tc>
        <w:tc>
          <w:tcPr>
            <w:tcW w:w="1134" w:type="dxa"/>
            <w:vAlign w:val="center"/>
          </w:tcPr>
          <w:p>
            <w:pPr>
              <w:pStyle w:val="21"/>
              <w:rPr>
                <w:rFonts w:hint="default" w:eastAsia="方正书宋_GBK"/>
                <w:lang w:val="en-US" w:eastAsia="zh-CN"/>
              </w:rPr>
            </w:pPr>
            <w:r>
              <w:rPr>
                <w:rFonts w:hint="eastAsia"/>
                <w:lang w:val="en-US" w:eastAsia="zh-CN"/>
              </w:rPr>
              <w:t>327.98</w:t>
            </w:r>
          </w:p>
        </w:tc>
        <w:tc>
          <w:tcPr>
            <w:tcW w:w="1134" w:type="dxa"/>
            <w:vAlign w:val="center"/>
          </w:tcPr>
          <w:p>
            <w:pPr>
              <w:pStyle w:val="21"/>
              <w:rPr>
                <w:rFonts w:hint="default" w:eastAsia="方正书宋_GBK"/>
                <w:lang w:val="en-US" w:eastAsia="zh-CN"/>
              </w:rPr>
            </w:pPr>
            <w:r>
              <w:rPr>
                <w:rFonts w:hint="eastAsia"/>
                <w:lang w:val="en-US" w:eastAsia="zh-CN"/>
              </w:rPr>
              <w:t>327.98</w:t>
            </w:r>
          </w:p>
        </w:tc>
        <w:tc>
          <w:tcPr>
            <w:tcW w:w="1134" w:type="dxa"/>
            <w:vAlign w:val="center"/>
          </w:tcPr>
          <w:p>
            <w:pPr>
              <w:pStyle w:val="21"/>
              <w:rPr>
                <w:rFonts w:hint="default" w:eastAsia="方正书宋_GBK"/>
                <w:lang w:val="en-US" w:eastAsia="zh-CN"/>
              </w:rPr>
            </w:pPr>
            <w:r>
              <w:rPr>
                <w:rFonts w:hint="eastAsia"/>
                <w:lang w:val="en-US" w:eastAsia="zh-CN"/>
              </w:rPr>
              <w:t>327.98</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2</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一般公共服务支出</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277.13</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277.13</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277.13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3</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20103</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政府办公厅（室）及相关机构事务</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277.13</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277.13</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277.13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4</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2010301</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行政运行</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261.88</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261.88</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261.88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5</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2010302</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一般行政管理事务</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15.25</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15.25</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15.25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6</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207</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文化旅游体育与传媒支出</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7</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20701</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文化和旅游</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8</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2070199</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其他文化和旅游支出</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9</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社会保障和就业支出</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24.94</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24.94</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24.94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10</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20805</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行政事业单位养老支出</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24.94</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24.94</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24.94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11</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2080505</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机关事业单位基本养老保险缴费支出</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24.94</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24.94</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24.94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12</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卫生健康支出</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18"/>
                <w:szCs w:val="18"/>
                <w:lang w:val="en-US" w:eastAsia="uk-UA" w:bidi="ar-SA"/>
              </w:rPr>
            </w:pPr>
            <w:r>
              <w:rPr>
                <w:rFonts w:hint="eastAsia" w:ascii="方正书宋_GBK" w:hAnsi="方正书宋_GBK" w:eastAsia="方正书宋_GBK" w:cs="方正书宋_GBK"/>
                <w:sz w:val="18"/>
                <w:szCs w:val="18"/>
                <w:lang w:val="en-US" w:eastAsia="zh-CN" w:bidi="ar-SA"/>
              </w:rPr>
              <w:t>9.41</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18"/>
                <w:szCs w:val="18"/>
                <w:lang w:val="en-US" w:eastAsia="zh-CN" w:bidi="ar-SA"/>
              </w:rPr>
            </w:pPr>
            <w:r>
              <w:rPr>
                <w:rFonts w:hint="eastAsia" w:ascii="方正书宋_GBK" w:hAnsi="方正书宋_GBK" w:eastAsia="方正书宋_GBK" w:cs="方正书宋_GBK"/>
                <w:sz w:val="18"/>
                <w:szCs w:val="18"/>
                <w:lang w:val="en-US" w:eastAsia="zh-CN" w:bidi="ar-SA"/>
              </w:rPr>
              <w:t>9.41</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18"/>
                <w:szCs w:val="18"/>
                <w:lang w:val="en-US" w:eastAsia="zh-CN" w:bidi="ar-SA"/>
              </w:rPr>
            </w:pPr>
            <w:r>
              <w:rPr>
                <w:rFonts w:hint="eastAsia" w:ascii="方正书宋_GBK" w:hAnsi="方正书宋_GBK" w:eastAsia="方正书宋_GBK" w:cs="方正书宋_GBK"/>
                <w:sz w:val="18"/>
                <w:szCs w:val="18"/>
                <w:lang w:val="en-US" w:eastAsia="zh-CN" w:bidi="ar-SA"/>
              </w:rPr>
              <w:t>9.41</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13</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21011</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行政事业单位医疗</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18"/>
                <w:szCs w:val="18"/>
                <w:lang w:val="en-US" w:eastAsia="uk-UA" w:bidi="ar-SA"/>
              </w:rPr>
            </w:pPr>
            <w:r>
              <w:rPr>
                <w:rFonts w:hint="eastAsia" w:ascii="方正书宋_GBK" w:hAnsi="方正书宋_GBK" w:eastAsia="方正书宋_GBK" w:cs="方正书宋_GBK"/>
                <w:sz w:val="18"/>
                <w:szCs w:val="18"/>
                <w:lang w:val="en-US" w:eastAsia="zh-CN" w:bidi="ar-SA"/>
              </w:rPr>
              <w:t>9.41</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18"/>
                <w:szCs w:val="18"/>
                <w:lang w:val="en-US" w:eastAsia="zh-CN" w:bidi="ar-SA"/>
              </w:rPr>
            </w:pPr>
            <w:r>
              <w:rPr>
                <w:rFonts w:hint="eastAsia" w:ascii="方正书宋_GBK" w:hAnsi="方正书宋_GBK" w:eastAsia="方正书宋_GBK" w:cs="方正书宋_GBK"/>
                <w:sz w:val="18"/>
                <w:szCs w:val="18"/>
                <w:lang w:val="en-US" w:eastAsia="zh-CN" w:bidi="ar-SA"/>
              </w:rPr>
              <w:t>9.41</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18"/>
                <w:szCs w:val="18"/>
                <w:lang w:val="en-US" w:eastAsia="zh-CN" w:bidi="ar-SA"/>
              </w:rPr>
            </w:pPr>
            <w:r>
              <w:rPr>
                <w:rFonts w:hint="eastAsia" w:ascii="方正书宋_GBK" w:hAnsi="方正书宋_GBK" w:eastAsia="方正书宋_GBK" w:cs="方正书宋_GBK"/>
                <w:sz w:val="18"/>
                <w:szCs w:val="18"/>
                <w:lang w:val="en-US" w:eastAsia="zh-CN" w:bidi="ar-SA"/>
              </w:rPr>
              <w:t>9.41</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14</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2101101</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行政单位医疗</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9.41</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9.41</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9.41</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15</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221</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住房保障支出</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14.75</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14.75</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14.75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16</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22102</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住房改革支出</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14.75</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14.75</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14.75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17</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2210201</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住房公积金</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14.75</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14.75</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14.75</w:t>
            </w:r>
          </w:p>
        </w:tc>
        <w:tc>
          <w:tcPr>
            <w:tcW w:w="1134" w:type="dxa"/>
            <w:vAlign w:val="center"/>
          </w:tcPr>
          <w:p>
            <w:pPr>
              <w:pStyle w:val="17"/>
              <w:rPr>
                <w:rFonts w:hint="default"/>
                <w:lang w:val="en-US"/>
              </w:rPr>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809001涞水县胡家庄乡人民政府本级</w:t>
            </w:r>
          </w:p>
        </w:tc>
        <w:tc>
          <w:tcPr>
            <w:tcW w:w="2722" w:type="dxa"/>
            <w:gridSpan w:val="2"/>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444"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528" w:type="dxa"/>
            <w:gridSpan w:val="2"/>
            <w:vAlign w:val="center"/>
          </w:tcPr>
          <w:p>
            <w:pPr>
              <w:pStyle w:val="16"/>
            </w:pPr>
            <w:r>
              <w:rPr>
                <w:rFonts w:hint="eastAsia"/>
              </w:rPr>
              <w:t>功能分类科目</w:t>
            </w:r>
          </w:p>
        </w:tc>
        <w:tc>
          <w:tcPr>
            <w:tcW w:w="1361" w:type="dxa"/>
            <w:vMerge w:val="restart"/>
            <w:vAlign w:val="center"/>
          </w:tcPr>
          <w:p>
            <w:pPr>
              <w:pStyle w:val="16"/>
            </w:pPr>
            <w:r>
              <w:rPr>
                <w:rFonts w:hint="eastAsia"/>
              </w:rPr>
              <w:t>合计</w:t>
            </w:r>
          </w:p>
        </w:tc>
        <w:tc>
          <w:tcPr>
            <w:tcW w:w="1361" w:type="dxa"/>
            <w:vMerge w:val="restart"/>
            <w:vAlign w:val="center"/>
          </w:tcPr>
          <w:p>
            <w:pPr>
              <w:pStyle w:val="16"/>
            </w:pPr>
            <w:r>
              <w:rPr>
                <w:rFonts w:hint="eastAsia"/>
              </w:rPr>
              <w:t>基本支出</w:t>
            </w:r>
          </w:p>
        </w:tc>
        <w:tc>
          <w:tcPr>
            <w:tcW w:w="1361" w:type="dxa"/>
            <w:vMerge w:val="restart"/>
            <w:vAlign w:val="center"/>
          </w:tcPr>
          <w:p>
            <w:pPr>
              <w:pStyle w:val="16"/>
            </w:pPr>
            <w:r>
              <w:rPr>
                <w:rFonts w:hint="eastAsia"/>
              </w:rPr>
              <w:t>项目支出</w:t>
            </w:r>
          </w:p>
        </w:tc>
        <w:tc>
          <w:tcPr>
            <w:tcW w:w="1361" w:type="dxa"/>
            <w:vMerge w:val="restart"/>
            <w:vAlign w:val="center"/>
          </w:tcPr>
          <w:p>
            <w:pPr>
              <w:pStyle w:val="16"/>
            </w:pPr>
            <w:r>
              <w:rPr>
                <w:rFonts w:hint="eastAsia"/>
              </w:rPr>
              <w:t>经营支出</w:t>
            </w:r>
          </w:p>
        </w:tc>
        <w:tc>
          <w:tcPr>
            <w:tcW w:w="1361" w:type="dxa"/>
            <w:vMerge w:val="restart"/>
            <w:vAlign w:val="center"/>
          </w:tcPr>
          <w:p>
            <w:pPr>
              <w:pStyle w:val="16"/>
            </w:pPr>
            <w:r>
              <w:rPr>
                <w:rFonts w:hint="eastAsia"/>
              </w:rPr>
              <w:t>上解上级</w:t>
            </w:r>
            <w:r>
              <w:t xml:space="preserve">     </w:t>
            </w:r>
            <w:r>
              <w:rPr>
                <w:rFonts w:hint="eastAsia"/>
              </w:rPr>
              <w:t>支出</w:t>
            </w:r>
          </w:p>
        </w:tc>
        <w:tc>
          <w:tcPr>
            <w:tcW w:w="1361" w:type="dxa"/>
            <w:vMerge w:val="restart"/>
            <w:vAlign w:val="center"/>
          </w:tcPr>
          <w:p>
            <w:pPr>
              <w:pStyle w:val="16"/>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6"/>
            </w:pPr>
            <w:r>
              <w:rPr>
                <w:rFonts w:hint="eastAsia"/>
              </w:rPr>
              <w:t>科目</w:t>
            </w:r>
            <w:r>
              <w:t xml:space="preserve">    </w:t>
            </w:r>
            <w:r>
              <w:rPr>
                <w:rFonts w:hint="eastAsia"/>
              </w:rPr>
              <w:t>编码</w:t>
            </w:r>
          </w:p>
        </w:tc>
        <w:tc>
          <w:tcPr>
            <w:tcW w:w="4536" w:type="dxa"/>
            <w:vAlign w:val="center"/>
          </w:tcPr>
          <w:p>
            <w:pPr>
              <w:pStyle w:val="16"/>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992" w:type="dxa"/>
            <w:vAlign w:val="center"/>
          </w:tcPr>
          <w:p>
            <w:pPr>
              <w:pStyle w:val="16"/>
            </w:pPr>
            <w:r>
              <w:t>1</w:t>
            </w:r>
          </w:p>
        </w:tc>
        <w:tc>
          <w:tcPr>
            <w:tcW w:w="4536"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992" w:type="dxa"/>
            <w:vAlign w:val="center"/>
          </w:tcPr>
          <w:p>
            <w:pPr>
              <w:pStyle w:val="22"/>
            </w:pPr>
          </w:p>
        </w:tc>
        <w:tc>
          <w:tcPr>
            <w:tcW w:w="4536" w:type="dxa"/>
            <w:vAlign w:val="center"/>
          </w:tcPr>
          <w:p>
            <w:pPr>
              <w:pStyle w:val="20"/>
            </w:pPr>
            <w:r>
              <w:rPr>
                <w:rFonts w:hint="eastAsia"/>
              </w:rPr>
              <w:t>合计</w:t>
            </w:r>
          </w:p>
        </w:tc>
        <w:tc>
          <w:tcPr>
            <w:tcW w:w="1361" w:type="dxa"/>
            <w:vAlign w:val="center"/>
          </w:tcPr>
          <w:p>
            <w:pPr>
              <w:pStyle w:val="21"/>
              <w:rPr>
                <w:rFonts w:hint="default" w:eastAsia="方正书宋_GBK"/>
                <w:lang w:val="en-US" w:eastAsia="zh-CN"/>
              </w:rPr>
            </w:pPr>
            <w:r>
              <w:rPr>
                <w:rFonts w:hint="eastAsia"/>
                <w:lang w:val="en-US" w:eastAsia="zh-CN"/>
              </w:rPr>
              <w:t>327.98</w:t>
            </w:r>
          </w:p>
        </w:tc>
        <w:tc>
          <w:tcPr>
            <w:tcW w:w="1361" w:type="dxa"/>
            <w:vAlign w:val="center"/>
          </w:tcPr>
          <w:p>
            <w:pPr>
              <w:pStyle w:val="21"/>
              <w:rPr>
                <w:rFonts w:hint="default" w:eastAsia="方正书宋_GBK"/>
                <w:lang w:val="en-US" w:eastAsia="zh-CN"/>
              </w:rPr>
            </w:pPr>
            <w:r>
              <w:rPr>
                <w:rFonts w:hint="eastAsia"/>
                <w:lang w:val="en-US" w:eastAsia="zh-CN"/>
              </w:rPr>
              <w:t>310.98</w:t>
            </w:r>
          </w:p>
        </w:tc>
        <w:tc>
          <w:tcPr>
            <w:tcW w:w="1361" w:type="dxa"/>
            <w:vAlign w:val="center"/>
          </w:tcPr>
          <w:p>
            <w:pPr>
              <w:pStyle w:val="21"/>
              <w:rPr>
                <w:rFonts w:hint="default" w:eastAsia="方正书宋_GBK"/>
                <w:lang w:val="en-US" w:eastAsia="zh-CN"/>
              </w:rPr>
            </w:pPr>
            <w:r>
              <w:rPr>
                <w:rFonts w:hint="eastAsia"/>
                <w:lang w:val="en-US" w:eastAsia="zh-CN"/>
              </w:rPr>
              <w:t>17</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一般公共服务支出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277.13</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261.88</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15.25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20103</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政府办公厅（室）及相关机构事务</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277.13</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261.88</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15.25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2010301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行政运行</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261.88</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261.88</w:t>
            </w:r>
          </w:p>
        </w:tc>
        <w:tc>
          <w:tcPr>
            <w:tcW w:w="1361" w:type="dxa"/>
            <w:vAlign w:val="top"/>
          </w:tcPr>
          <w:p>
            <w:pPr>
              <w:jc w:val="right"/>
              <w:rPr>
                <w:rFonts w:hint="default" w:ascii="方正书宋_GBK" w:hAnsi="方正书宋_GBK" w:eastAsia="方正书宋_GBK" w:cs="方正书宋_GBK"/>
                <w:sz w:val="21"/>
                <w:szCs w:val="24"/>
                <w:lang w:val="en-US" w:eastAsia="zh-CN"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2010302</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一般行政管理事务</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15.25</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15.25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207</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文化旅游体育与传媒支出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20701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文化和旅游</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2070199</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其他文化和旅游支出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208</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社会保障和就业支出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24.94</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24.94</w:t>
            </w:r>
          </w:p>
        </w:tc>
        <w:tc>
          <w:tcPr>
            <w:tcW w:w="1361" w:type="dxa"/>
            <w:vAlign w:val="top"/>
          </w:tcPr>
          <w:p>
            <w:pPr>
              <w:jc w:val="right"/>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20805</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行政事业单位养老支出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24.94</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24.94</w:t>
            </w:r>
          </w:p>
        </w:tc>
        <w:tc>
          <w:tcPr>
            <w:tcW w:w="1361" w:type="dxa"/>
            <w:vAlign w:val="top"/>
          </w:tcPr>
          <w:p>
            <w:pPr>
              <w:jc w:val="right"/>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2080505</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机关事业单位基本养老保险缴费支出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24.94</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24.94</w:t>
            </w:r>
          </w:p>
        </w:tc>
        <w:tc>
          <w:tcPr>
            <w:tcW w:w="1361" w:type="dxa"/>
            <w:vAlign w:val="top"/>
          </w:tcPr>
          <w:p>
            <w:pPr>
              <w:jc w:val="right"/>
              <w:rPr>
                <w:rFonts w:hint="default"/>
                <w:lang w:val="en-US"/>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210</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卫生健康支出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9.41</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9.41</w:t>
            </w:r>
          </w:p>
        </w:tc>
        <w:tc>
          <w:tcPr>
            <w:tcW w:w="1361" w:type="dxa"/>
            <w:vAlign w:val="top"/>
          </w:tcPr>
          <w:p>
            <w:pPr>
              <w:jc w:val="right"/>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21011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行政事业单位医疗</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9.41</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9.41</w:t>
            </w:r>
          </w:p>
        </w:tc>
        <w:tc>
          <w:tcPr>
            <w:tcW w:w="1361" w:type="dxa"/>
            <w:vAlign w:val="top"/>
          </w:tcPr>
          <w:p>
            <w:pPr>
              <w:jc w:val="right"/>
              <w:rPr>
                <w:rFonts w:hint="default"/>
                <w:lang w:val="en-US"/>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2101101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行政单位医疗</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9.41</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9.41</w:t>
            </w:r>
          </w:p>
        </w:tc>
        <w:tc>
          <w:tcPr>
            <w:tcW w:w="1361" w:type="dxa"/>
            <w:vAlign w:val="top"/>
          </w:tcPr>
          <w:p>
            <w:pPr>
              <w:jc w:val="right"/>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221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住房保障支出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14.75</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14.75</w:t>
            </w:r>
          </w:p>
        </w:tc>
        <w:tc>
          <w:tcPr>
            <w:tcW w:w="1361" w:type="dxa"/>
            <w:vAlign w:val="top"/>
          </w:tcPr>
          <w:p>
            <w:pPr>
              <w:jc w:val="right"/>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22102</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住房改革支出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14.75</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14.75</w:t>
            </w:r>
          </w:p>
        </w:tc>
        <w:tc>
          <w:tcPr>
            <w:tcW w:w="1361" w:type="dxa"/>
            <w:vAlign w:val="top"/>
          </w:tcPr>
          <w:p>
            <w:pPr>
              <w:jc w:val="right"/>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2210201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住房公积金</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14.75</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14.75</w:t>
            </w:r>
          </w:p>
        </w:tc>
        <w:tc>
          <w:tcPr>
            <w:tcW w:w="1361" w:type="dxa"/>
            <w:vAlign w:val="top"/>
          </w:tcPr>
          <w:p>
            <w:pPr>
              <w:jc w:val="right"/>
              <w:rPr>
                <w:rFonts w:hint="default"/>
                <w:lang w:val="en-US"/>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bl>
    <w:p>
      <w:pPr>
        <w:sectPr>
          <w:type w:val="continuous"/>
          <w:pgSz w:w="16840" w:h="11900" w:orient="landscape"/>
          <w:pgMar w:top="1361" w:right="1021" w:bottom="1134" w:left="1021" w:header="720" w:footer="720" w:gutter="0"/>
          <w:cols w:space="720" w:num="1"/>
        </w:sectPr>
      </w:pPr>
    </w:p>
    <w:p>
      <w:pPr>
        <w:jc w:val="both"/>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809001涞水县胡家庄乡人民政府本级</w:t>
            </w:r>
          </w:p>
        </w:tc>
        <w:tc>
          <w:tcPr>
            <w:tcW w:w="3402"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896"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4876" w:type="dxa"/>
            <w:gridSpan w:val="2"/>
            <w:vAlign w:val="center"/>
          </w:tcPr>
          <w:p>
            <w:pPr>
              <w:pStyle w:val="16"/>
            </w:pPr>
            <w:r>
              <w:rPr>
                <w:rFonts w:hint="eastAsia"/>
              </w:rPr>
              <w:t>收入</w:t>
            </w:r>
          </w:p>
        </w:tc>
        <w:tc>
          <w:tcPr>
            <w:tcW w:w="9298" w:type="dxa"/>
            <w:gridSpan w:val="5"/>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金额</w:t>
            </w: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合计</w:t>
            </w:r>
          </w:p>
        </w:tc>
        <w:tc>
          <w:tcPr>
            <w:tcW w:w="1474" w:type="dxa"/>
            <w:vAlign w:val="center"/>
          </w:tcPr>
          <w:p>
            <w:pPr>
              <w:pStyle w:val="16"/>
            </w:pPr>
            <w:r>
              <w:rPr>
                <w:rFonts w:hint="eastAsia"/>
              </w:rPr>
              <w:t>一般公共预算财政拨款</w:t>
            </w:r>
          </w:p>
        </w:tc>
        <w:tc>
          <w:tcPr>
            <w:tcW w:w="1474" w:type="dxa"/>
            <w:vAlign w:val="center"/>
          </w:tcPr>
          <w:p>
            <w:pPr>
              <w:pStyle w:val="16"/>
            </w:pPr>
            <w:r>
              <w:rPr>
                <w:rFonts w:hint="eastAsia"/>
              </w:rPr>
              <w:t>政府性基金预算财政</w:t>
            </w:r>
            <w:r>
              <w:t xml:space="preserve">    </w:t>
            </w:r>
            <w:r>
              <w:rPr>
                <w:rFonts w:hint="eastAsia"/>
              </w:rPr>
              <w:t>拨款</w:t>
            </w:r>
          </w:p>
        </w:tc>
        <w:tc>
          <w:tcPr>
            <w:tcW w:w="1474" w:type="dxa"/>
            <w:vAlign w:val="center"/>
          </w:tcPr>
          <w:p>
            <w:pPr>
              <w:pStyle w:val="16"/>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402" w:type="dxa"/>
            <w:vAlign w:val="center"/>
          </w:tcPr>
          <w:p>
            <w:pPr>
              <w:pStyle w:val="18"/>
            </w:pPr>
            <w:r>
              <w:rPr>
                <w:rFonts w:hint="eastAsia"/>
              </w:rPr>
              <w:t>一、一般公共预算拨款</w:t>
            </w:r>
          </w:p>
        </w:tc>
        <w:tc>
          <w:tcPr>
            <w:tcW w:w="1474" w:type="dxa"/>
            <w:vAlign w:val="center"/>
          </w:tcPr>
          <w:p>
            <w:pPr>
              <w:pStyle w:val="17"/>
              <w:rPr>
                <w:rFonts w:hint="default" w:eastAsia="方正书宋_GBK"/>
                <w:lang w:val="en-US" w:eastAsia="zh-CN"/>
              </w:rPr>
            </w:pPr>
            <w:r>
              <w:rPr>
                <w:rFonts w:hint="eastAsia"/>
                <w:lang w:val="en-US" w:eastAsia="zh-CN"/>
              </w:rPr>
              <w:t>327.98</w:t>
            </w:r>
          </w:p>
        </w:tc>
        <w:tc>
          <w:tcPr>
            <w:tcW w:w="3402" w:type="dxa"/>
            <w:vAlign w:val="center"/>
          </w:tcPr>
          <w:p>
            <w:pPr>
              <w:pStyle w:val="18"/>
            </w:pPr>
            <w:r>
              <w:rPr>
                <w:rFonts w:hint="eastAsia"/>
              </w:rPr>
              <w:t>一、一般公共服务支出</w:t>
            </w:r>
          </w:p>
        </w:tc>
        <w:tc>
          <w:tcPr>
            <w:tcW w:w="1474" w:type="dxa"/>
            <w:vAlign w:val="center"/>
          </w:tcPr>
          <w:p>
            <w:pPr>
              <w:pStyle w:val="17"/>
              <w:rPr>
                <w:rFonts w:hint="default" w:eastAsia="方正书宋_GBK"/>
                <w:lang w:val="en-US" w:eastAsia="zh-CN"/>
              </w:rPr>
            </w:pPr>
            <w:r>
              <w:rPr>
                <w:rFonts w:hint="eastAsia"/>
                <w:lang w:val="en-US" w:eastAsia="zh-CN"/>
              </w:rPr>
              <w:t>277.13</w:t>
            </w:r>
          </w:p>
        </w:tc>
        <w:tc>
          <w:tcPr>
            <w:tcW w:w="1474" w:type="dxa"/>
            <w:vAlign w:val="center"/>
          </w:tcPr>
          <w:p>
            <w:pPr>
              <w:pStyle w:val="17"/>
              <w:rPr>
                <w:rFonts w:hint="default" w:eastAsia="方正书宋_GBK"/>
                <w:lang w:val="en-US" w:eastAsia="zh-CN"/>
              </w:rPr>
            </w:pPr>
            <w:r>
              <w:rPr>
                <w:rFonts w:hint="eastAsia"/>
                <w:lang w:val="en-US" w:eastAsia="zh-CN"/>
              </w:rPr>
              <w:t>277.13</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402" w:type="dxa"/>
            <w:vAlign w:val="center"/>
          </w:tcPr>
          <w:p>
            <w:pPr>
              <w:pStyle w:val="18"/>
            </w:pPr>
            <w:r>
              <w:rPr>
                <w:rFonts w:hint="eastAsia"/>
              </w:rPr>
              <w:t>二、政府性基金预算拨款</w:t>
            </w:r>
          </w:p>
        </w:tc>
        <w:tc>
          <w:tcPr>
            <w:tcW w:w="1474" w:type="dxa"/>
            <w:vAlign w:val="center"/>
          </w:tcPr>
          <w:p>
            <w:pPr>
              <w:pStyle w:val="17"/>
            </w:pPr>
          </w:p>
        </w:tc>
        <w:tc>
          <w:tcPr>
            <w:tcW w:w="3402" w:type="dxa"/>
            <w:vAlign w:val="center"/>
          </w:tcPr>
          <w:p>
            <w:pPr>
              <w:pStyle w:val="18"/>
            </w:pPr>
            <w:r>
              <w:rPr>
                <w:rFonts w:hint="eastAsia"/>
              </w:rPr>
              <w:t>二、外交支出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r>
              <w:rPr>
                <w:rFonts w:hint="eastAsia"/>
              </w:rPr>
              <w:t>三、国防支出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四、公共安全支出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五、教育支出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六、科学技术支出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七、文化旅游体育与传媒支出</w:t>
            </w:r>
          </w:p>
        </w:tc>
        <w:tc>
          <w:tcPr>
            <w:tcW w:w="1474" w:type="dxa"/>
            <w:vAlign w:val="center"/>
          </w:tcPr>
          <w:p>
            <w:pPr>
              <w:pStyle w:val="17"/>
              <w:rPr>
                <w:rFonts w:hint="default" w:eastAsia="方正书宋_GBK"/>
                <w:lang w:val="en-US" w:eastAsia="zh-CN"/>
              </w:rPr>
            </w:pPr>
            <w:r>
              <w:rPr>
                <w:rFonts w:hint="eastAsia"/>
                <w:lang w:val="en-US" w:eastAsia="zh-CN"/>
              </w:rPr>
              <w:t>1.75</w:t>
            </w:r>
          </w:p>
        </w:tc>
        <w:tc>
          <w:tcPr>
            <w:tcW w:w="1474" w:type="dxa"/>
            <w:vAlign w:val="center"/>
          </w:tcPr>
          <w:p>
            <w:pPr>
              <w:pStyle w:val="17"/>
              <w:rPr>
                <w:rFonts w:hint="default" w:eastAsia="方正书宋_GBK"/>
                <w:lang w:val="en-US" w:eastAsia="zh-CN"/>
              </w:rPr>
            </w:pPr>
            <w:r>
              <w:rPr>
                <w:rFonts w:hint="eastAsia"/>
                <w:lang w:val="en-US" w:eastAsia="zh-CN"/>
              </w:rPr>
              <w:t>1.75</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八、社会保障和就业支出</w:t>
            </w:r>
          </w:p>
        </w:tc>
        <w:tc>
          <w:tcPr>
            <w:tcW w:w="1474" w:type="dxa"/>
            <w:vAlign w:val="center"/>
          </w:tcPr>
          <w:p>
            <w:pPr>
              <w:pStyle w:val="17"/>
              <w:rPr>
                <w:rFonts w:hint="default" w:eastAsia="方正书宋_GBK"/>
                <w:lang w:val="en-US" w:eastAsia="zh-CN"/>
              </w:rPr>
            </w:pPr>
            <w:r>
              <w:rPr>
                <w:rFonts w:hint="eastAsia"/>
                <w:lang w:val="en-US" w:eastAsia="zh-CN"/>
              </w:rPr>
              <w:t>24.94</w:t>
            </w:r>
          </w:p>
        </w:tc>
        <w:tc>
          <w:tcPr>
            <w:tcW w:w="1474" w:type="dxa"/>
            <w:vAlign w:val="center"/>
          </w:tcPr>
          <w:p>
            <w:pPr>
              <w:pStyle w:val="17"/>
              <w:rPr>
                <w:rFonts w:hint="default" w:eastAsia="方正书宋_GBK"/>
                <w:lang w:val="en-US" w:eastAsia="zh-CN"/>
              </w:rPr>
            </w:pPr>
            <w:r>
              <w:rPr>
                <w:rFonts w:hint="eastAsia"/>
                <w:lang w:val="en-US" w:eastAsia="zh-CN"/>
              </w:rPr>
              <w:t>24.94</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九、社会保险基金支出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十、卫生健康支出</w:t>
            </w:r>
          </w:p>
        </w:tc>
        <w:tc>
          <w:tcPr>
            <w:tcW w:w="1474" w:type="dxa"/>
            <w:vAlign w:val="center"/>
          </w:tcPr>
          <w:p>
            <w:pPr>
              <w:pStyle w:val="17"/>
              <w:rPr>
                <w:rFonts w:hint="default" w:eastAsia="方正书宋_GBK"/>
                <w:lang w:val="en-US" w:eastAsia="zh-CN"/>
              </w:rPr>
            </w:pPr>
            <w:r>
              <w:rPr>
                <w:rFonts w:hint="eastAsia"/>
                <w:lang w:val="en-US" w:eastAsia="zh-CN"/>
              </w:rPr>
              <w:t>9.41</w:t>
            </w:r>
          </w:p>
        </w:tc>
        <w:tc>
          <w:tcPr>
            <w:tcW w:w="1474" w:type="dxa"/>
            <w:vAlign w:val="center"/>
          </w:tcPr>
          <w:p>
            <w:pPr>
              <w:pStyle w:val="17"/>
              <w:rPr>
                <w:rFonts w:hint="default" w:eastAsia="方正书宋_GBK"/>
                <w:lang w:val="en-US" w:eastAsia="zh-CN"/>
              </w:rPr>
            </w:pPr>
            <w:r>
              <w:rPr>
                <w:rFonts w:hint="eastAsia"/>
                <w:lang w:val="en-US" w:eastAsia="zh-CN"/>
              </w:rPr>
              <w:t>9.41</w:t>
            </w:r>
          </w:p>
        </w:tc>
        <w:tc>
          <w:tcPr>
            <w:tcW w:w="1474" w:type="dxa"/>
            <w:vAlign w:val="center"/>
          </w:tcPr>
          <w:p>
            <w:pPr>
              <w:pStyle w:val="17"/>
              <w:rPr>
                <w:rFonts w:hint="default"/>
                <w:lang w:val="en-US"/>
              </w:rPr>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十一、节能环保支出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十二、城乡社区支出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十三、农林水支出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十四、交通运输支出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十五、资源勘探工业信息等支出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十六、商业服务业等支出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十七、金融支出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十八、援助其他地区支出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十九、自然资源海洋气象等支出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二十、住房保障支出</w:t>
            </w:r>
          </w:p>
        </w:tc>
        <w:tc>
          <w:tcPr>
            <w:tcW w:w="1474" w:type="dxa"/>
            <w:vAlign w:val="center"/>
          </w:tcPr>
          <w:p>
            <w:pPr>
              <w:pStyle w:val="17"/>
              <w:rPr>
                <w:rFonts w:hint="default" w:eastAsia="方正书宋_GBK"/>
                <w:lang w:val="en-US" w:eastAsia="zh-CN"/>
              </w:rPr>
            </w:pPr>
            <w:r>
              <w:rPr>
                <w:rFonts w:hint="eastAsia"/>
                <w:lang w:val="en-US" w:eastAsia="zh-CN"/>
              </w:rPr>
              <w:t>14.75</w:t>
            </w:r>
          </w:p>
        </w:tc>
        <w:tc>
          <w:tcPr>
            <w:tcW w:w="1474" w:type="dxa"/>
            <w:vAlign w:val="center"/>
          </w:tcPr>
          <w:p>
            <w:pPr>
              <w:pStyle w:val="17"/>
              <w:rPr>
                <w:rFonts w:hint="default" w:eastAsia="方正书宋_GBK"/>
                <w:lang w:val="en-US" w:eastAsia="zh-CN"/>
              </w:rPr>
            </w:pPr>
            <w:r>
              <w:rPr>
                <w:rFonts w:hint="eastAsia"/>
                <w:lang w:val="en-US" w:eastAsia="zh-CN"/>
              </w:rPr>
              <w:t>14.75</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二十一、粮油物资储备支出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二十二、国有资本经营预算支出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二十三、灾害防治及应急管理支出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二十四、预备费</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二十五、其他支出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二十六、转移性支出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二十七、债务还本支出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二十八、债务付息支出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二十九、债务发行费用支出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三十、抗疫特别国债安排的支出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20"/>
            </w:pPr>
            <w:r>
              <w:rPr>
                <w:rFonts w:hint="eastAsia"/>
              </w:rPr>
              <w:t>本年收入合计</w:t>
            </w:r>
          </w:p>
        </w:tc>
        <w:tc>
          <w:tcPr>
            <w:tcW w:w="1474" w:type="dxa"/>
            <w:vAlign w:val="center"/>
          </w:tcPr>
          <w:p>
            <w:pPr>
              <w:pStyle w:val="21"/>
              <w:rPr>
                <w:rFonts w:hint="default"/>
                <w:lang w:val="en-US"/>
              </w:rPr>
            </w:pPr>
            <w:r>
              <w:rPr>
                <w:rFonts w:hint="eastAsia"/>
                <w:lang w:val="en-US" w:eastAsia="zh-CN"/>
              </w:rPr>
              <w:t>327.98</w:t>
            </w:r>
          </w:p>
        </w:tc>
        <w:tc>
          <w:tcPr>
            <w:tcW w:w="3402" w:type="dxa"/>
            <w:vAlign w:val="center"/>
          </w:tcPr>
          <w:p>
            <w:pPr>
              <w:pStyle w:val="20"/>
            </w:pPr>
            <w:r>
              <w:rPr>
                <w:rFonts w:hint="eastAsia"/>
              </w:rPr>
              <w:t>本年支出合计</w:t>
            </w:r>
          </w:p>
        </w:tc>
        <w:tc>
          <w:tcPr>
            <w:tcW w:w="1474" w:type="dxa"/>
            <w:vAlign w:val="center"/>
          </w:tcPr>
          <w:p>
            <w:pPr>
              <w:pStyle w:val="21"/>
              <w:rPr>
                <w:rFonts w:hint="default" w:eastAsia="方正书宋_GBK"/>
                <w:lang w:val="en-US" w:eastAsia="zh-CN"/>
              </w:rPr>
            </w:pPr>
            <w:r>
              <w:rPr>
                <w:rFonts w:hint="eastAsia"/>
                <w:lang w:val="en-US" w:eastAsia="zh-CN"/>
              </w:rPr>
              <w:t>327.98</w:t>
            </w:r>
          </w:p>
        </w:tc>
        <w:tc>
          <w:tcPr>
            <w:tcW w:w="1474" w:type="dxa"/>
            <w:vAlign w:val="center"/>
          </w:tcPr>
          <w:p>
            <w:pPr>
              <w:pStyle w:val="21"/>
              <w:rPr>
                <w:rFonts w:hint="default" w:eastAsia="方正书宋_GBK"/>
                <w:lang w:val="en-US" w:eastAsia="zh-CN"/>
              </w:rPr>
            </w:pPr>
            <w:r>
              <w:rPr>
                <w:rFonts w:hint="eastAsia"/>
                <w:lang w:val="en-US" w:eastAsia="zh-CN"/>
              </w:rPr>
              <w:t>327.98</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402" w:type="dxa"/>
            <w:vAlign w:val="center"/>
          </w:tcPr>
          <w:p>
            <w:pPr>
              <w:pStyle w:val="18"/>
            </w:pPr>
            <w:r>
              <w:rPr>
                <w:rFonts w:hint="eastAsia"/>
              </w:rPr>
              <w:t>年初财政拨款结转和结余</w:t>
            </w:r>
          </w:p>
        </w:tc>
        <w:tc>
          <w:tcPr>
            <w:tcW w:w="1474" w:type="dxa"/>
            <w:vAlign w:val="center"/>
          </w:tcPr>
          <w:p>
            <w:pPr>
              <w:pStyle w:val="17"/>
            </w:pPr>
          </w:p>
        </w:tc>
        <w:tc>
          <w:tcPr>
            <w:tcW w:w="3402" w:type="dxa"/>
            <w:vAlign w:val="center"/>
          </w:tcPr>
          <w:p>
            <w:pPr>
              <w:pStyle w:val="18"/>
            </w:pPr>
            <w:r>
              <w:rPr>
                <w:rFonts w:hint="eastAsia"/>
              </w:rPr>
              <w:t>年末财政拨款结转和结余</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rPr>
                <w:rFonts w:hint="eastAsia"/>
              </w:rPr>
              <w:t>一、一般公共预算拨款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vAlign w:val="center"/>
          </w:tcPr>
          <w:p>
            <w:pPr>
              <w:pStyle w:val="18"/>
            </w:pPr>
            <w:r>
              <w:rPr>
                <w:rFonts w:hint="eastAsia"/>
              </w:rPr>
              <w:t>二、政府性基金预算拨款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402" w:type="dxa"/>
            <w:vAlign w:val="center"/>
          </w:tcPr>
          <w:p>
            <w:pPr>
              <w:pStyle w:val="20"/>
            </w:pPr>
            <w:r>
              <w:rPr>
                <w:rFonts w:hint="eastAsia"/>
              </w:rPr>
              <w:t>收入总计</w:t>
            </w:r>
          </w:p>
        </w:tc>
        <w:tc>
          <w:tcPr>
            <w:tcW w:w="1474" w:type="dxa"/>
            <w:vAlign w:val="center"/>
          </w:tcPr>
          <w:p>
            <w:pPr>
              <w:pStyle w:val="21"/>
              <w:rPr>
                <w:rFonts w:hint="default"/>
                <w:lang w:val="en-US"/>
              </w:rPr>
            </w:pPr>
            <w:r>
              <w:rPr>
                <w:rFonts w:hint="eastAsia"/>
                <w:lang w:val="en-US" w:eastAsia="zh-CN"/>
              </w:rPr>
              <w:t>327.98</w:t>
            </w:r>
          </w:p>
        </w:tc>
        <w:tc>
          <w:tcPr>
            <w:tcW w:w="3402" w:type="dxa"/>
            <w:vAlign w:val="center"/>
          </w:tcPr>
          <w:p>
            <w:pPr>
              <w:pStyle w:val="20"/>
              <w:rPr>
                <w:rFonts w:hint="default"/>
                <w:lang w:val="en-US"/>
              </w:rPr>
            </w:pPr>
          </w:p>
        </w:tc>
        <w:tc>
          <w:tcPr>
            <w:tcW w:w="1474" w:type="dxa"/>
            <w:vAlign w:val="center"/>
          </w:tcPr>
          <w:p>
            <w:pPr>
              <w:pStyle w:val="21"/>
              <w:rPr>
                <w:rFonts w:hint="default"/>
                <w:lang w:val="en-US"/>
              </w:rPr>
            </w:pPr>
            <w:r>
              <w:rPr>
                <w:rFonts w:hint="eastAsia"/>
                <w:lang w:val="en-US" w:eastAsia="zh-CN"/>
              </w:rPr>
              <w:t>327.98</w:t>
            </w:r>
          </w:p>
        </w:tc>
        <w:tc>
          <w:tcPr>
            <w:tcW w:w="1474" w:type="dxa"/>
            <w:vAlign w:val="center"/>
          </w:tcPr>
          <w:p>
            <w:pPr>
              <w:pStyle w:val="21"/>
              <w:rPr>
                <w:rFonts w:hint="default" w:eastAsia="方正书宋_GBK"/>
                <w:lang w:val="en-US" w:eastAsia="zh-CN"/>
              </w:rPr>
            </w:pPr>
            <w:r>
              <w:rPr>
                <w:rFonts w:hint="eastAsia"/>
                <w:lang w:val="en-US" w:eastAsia="zh-CN"/>
              </w:rPr>
              <w:t>327.98</w:t>
            </w:r>
          </w:p>
        </w:tc>
        <w:tc>
          <w:tcPr>
            <w:tcW w:w="1474" w:type="dxa"/>
            <w:vAlign w:val="center"/>
          </w:tcPr>
          <w:p>
            <w:pPr>
              <w:pStyle w:val="21"/>
              <w:rPr>
                <w:rFonts w:hint="default"/>
                <w:lang w:val="en-US"/>
              </w:rPr>
            </w:pPr>
          </w:p>
        </w:tc>
        <w:tc>
          <w:tcPr>
            <w:tcW w:w="1474" w:type="dxa"/>
            <w:vAlign w:val="center"/>
          </w:tcPr>
          <w:p>
            <w:pPr>
              <w:pStyle w:val="21"/>
            </w:pPr>
          </w:p>
        </w:tc>
      </w:tr>
    </w:tbl>
    <w:p>
      <w:pPr>
        <w:rPr>
          <w:rFonts w:hint="eastAsia"/>
          <w:lang w:eastAsia="zh-CN"/>
        </w:rPr>
        <w:sectPr>
          <w:type w:val="continuous"/>
          <w:pgSz w:w="16840" w:h="11900" w:orient="landscape"/>
          <w:pgMar w:top="1361" w:right="1021" w:bottom="1134" w:left="1021" w:header="720" w:footer="720" w:gutter="0"/>
          <w:cols w:space="720" w:num="1"/>
        </w:sect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809001涞水县胡家庄乡人民政府本级</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rPr>
                <w:rFonts w:hint="eastAsia"/>
              </w:rPr>
              <w:t>合计</w:t>
            </w:r>
          </w:p>
        </w:tc>
        <w:tc>
          <w:tcPr>
            <w:tcW w:w="2551" w:type="dxa"/>
            <w:vAlign w:val="center"/>
          </w:tcPr>
          <w:p>
            <w:pPr>
              <w:pStyle w:val="21"/>
              <w:rPr>
                <w:rFonts w:hint="default" w:eastAsia="方正书宋_GBK"/>
                <w:lang w:val="en-US" w:eastAsia="zh-CN"/>
              </w:rPr>
            </w:pPr>
            <w:r>
              <w:rPr>
                <w:rFonts w:hint="eastAsia"/>
                <w:lang w:val="en-US" w:eastAsia="zh-CN"/>
              </w:rPr>
              <w:t>327.98</w:t>
            </w:r>
          </w:p>
        </w:tc>
        <w:tc>
          <w:tcPr>
            <w:tcW w:w="2551" w:type="dxa"/>
            <w:vAlign w:val="center"/>
          </w:tcPr>
          <w:p>
            <w:pPr>
              <w:pStyle w:val="21"/>
              <w:rPr>
                <w:rFonts w:hint="default" w:eastAsia="方正书宋_GBK"/>
                <w:lang w:val="en-US" w:eastAsia="zh-CN"/>
              </w:rPr>
            </w:pPr>
            <w:r>
              <w:rPr>
                <w:rFonts w:hint="eastAsia"/>
                <w:lang w:val="en-US" w:eastAsia="zh-CN"/>
              </w:rPr>
              <w:t>310.98</w:t>
            </w:r>
          </w:p>
        </w:tc>
        <w:tc>
          <w:tcPr>
            <w:tcW w:w="2551" w:type="dxa"/>
            <w:vAlign w:val="center"/>
          </w:tcPr>
          <w:p>
            <w:pPr>
              <w:pStyle w:val="21"/>
              <w:rPr>
                <w:rFonts w:hint="default" w:eastAsia="方正书宋_GBK"/>
                <w:lang w:val="en-US" w:eastAsia="zh-CN"/>
              </w:rPr>
            </w:pPr>
            <w:r>
              <w:rPr>
                <w:rFonts w:hint="eastAsia"/>
                <w:lang w:val="en-US" w:eastAsia="zh-CN"/>
              </w:rPr>
              <w:t>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一般公共服务支出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277.13</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261.88</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20103</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政府办公厅（室）及相关机构事务</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277.13</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261.88</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2010301</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行政运行</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261.88</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261.88</w:t>
            </w:r>
          </w:p>
        </w:tc>
        <w:tc>
          <w:tcPr>
            <w:tcW w:w="2551" w:type="dxa"/>
            <w:vAlign w:val="top"/>
          </w:tcPr>
          <w:p>
            <w:pPr>
              <w:jc w:val="right"/>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2010302</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一般行政管理事务</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15.25</w:t>
            </w:r>
          </w:p>
        </w:tc>
        <w:tc>
          <w:tcPr>
            <w:tcW w:w="2551" w:type="dxa"/>
            <w:vAlign w:val="top"/>
          </w:tcPr>
          <w:p>
            <w:pPr>
              <w:jc w:val="right"/>
              <w:rPr>
                <w:rFonts w:hint="default" w:ascii="方正书宋_GBK" w:hAnsi="方正书宋_GBK" w:eastAsia="方正书宋_GBK" w:cs="方正书宋_GBK"/>
                <w:sz w:val="21"/>
                <w:szCs w:val="24"/>
                <w:lang w:val="en-US" w:eastAsia="uk-UA" w:bidi="ar-SA"/>
              </w:rPr>
            </w:pP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207</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文化旅游体育与传媒支出</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2551" w:type="dxa"/>
            <w:vAlign w:val="top"/>
          </w:tcPr>
          <w:p>
            <w:pPr>
              <w:jc w:val="right"/>
              <w:rPr>
                <w:rFonts w:hint="eastAsia" w:ascii="方正书宋_GBK" w:hAnsi="方正书宋_GBK" w:eastAsia="方正书宋_GBK" w:cs="方正书宋_GBK"/>
                <w:sz w:val="21"/>
                <w:szCs w:val="24"/>
                <w:lang w:val="en-US" w:eastAsia="uk-UA" w:bidi="ar-SA"/>
              </w:rPr>
            </w:pP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20701</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文化和旅游</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2551" w:type="dxa"/>
            <w:vAlign w:val="top"/>
          </w:tcPr>
          <w:p>
            <w:pPr>
              <w:jc w:val="right"/>
              <w:rPr>
                <w:rFonts w:hint="eastAsia" w:ascii="方正书宋_GBK" w:hAnsi="方正书宋_GBK" w:eastAsia="方正书宋_GBK" w:cs="方正书宋_GBK"/>
                <w:sz w:val="21"/>
                <w:szCs w:val="24"/>
                <w:lang w:val="en-US" w:eastAsia="uk-UA" w:bidi="ar-SA"/>
              </w:rPr>
            </w:pP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2070199</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其他文化和旅游支出</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2551" w:type="dxa"/>
            <w:vAlign w:val="top"/>
          </w:tcPr>
          <w:p>
            <w:pPr>
              <w:jc w:val="right"/>
              <w:rPr>
                <w:rFonts w:hint="eastAsia" w:ascii="方正书宋_GBK" w:hAnsi="方正书宋_GBK" w:eastAsia="方正书宋_GBK" w:cs="方正书宋_GBK"/>
                <w:sz w:val="21"/>
                <w:szCs w:val="24"/>
                <w:lang w:val="en-US" w:eastAsia="uk-UA" w:bidi="ar-SA"/>
              </w:rPr>
            </w:pP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社会保障和就业支出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24.94</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24.94</w:t>
            </w:r>
          </w:p>
        </w:tc>
        <w:tc>
          <w:tcPr>
            <w:tcW w:w="2551" w:type="dxa"/>
            <w:vAlign w:val="center"/>
          </w:tcPr>
          <w:p>
            <w:pPr>
              <w:pStyle w:val="17"/>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20805</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行政事业单位养老支出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24.94</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24.94</w:t>
            </w:r>
          </w:p>
        </w:tc>
        <w:tc>
          <w:tcPr>
            <w:tcW w:w="2551" w:type="dxa"/>
            <w:vAlign w:val="center"/>
          </w:tcPr>
          <w:p>
            <w:pPr>
              <w:pStyle w:val="17"/>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2080505</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机关事业单位基本养老保险缴费支出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24.94</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24.94</w:t>
            </w:r>
          </w:p>
        </w:tc>
        <w:tc>
          <w:tcPr>
            <w:tcW w:w="2551" w:type="dxa"/>
            <w:vAlign w:val="center"/>
          </w:tcPr>
          <w:p>
            <w:pPr>
              <w:pStyle w:val="17"/>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卫生健康支出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9.41</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9.41</w:t>
            </w:r>
          </w:p>
        </w:tc>
        <w:tc>
          <w:tcPr>
            <w:tcW w:w="2551" w:type="dxa"/>
            <w:vAlign w:val="center"/>
          </w:tcPr>
          <w:p>
            <w:pPr>
              <w:pStyle w:val="17"/>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21011</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行政事业单位医疗</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9.41</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9.41</w:t>
            </w:r>
          </w:p>
        </w:tc>
        <w:tc>
          <w:tcPr>
            <w:tcW w:w="2551" w:type="dxa"/>
            <w:vAlign w:val="center"/>
          </w:tcPr>
          <w:p>
            <w:pPr>
              <w:pStyle w:val="17"/>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2101101</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行政单位医疗</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9.41</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9.41</w:t>
            </w:r>
          </w:p>
        </w:tc>
        <w:tc>
          <w:tcPr>
            <w:tcW w:w="2551" w:type="dxa"/>
            <w:vAlign w:val="center"/>
          </w:tcPr>
          <w:p>
            <w:pPr>
              <w:pStyle w:val="17"/>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221</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住房保障支出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14.75</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14.75</w:t>
            </w:r>
          </w:p>
        </w:tc>
        <w:tc>
          <w:tcPr>
            <w:tcW w:w="2551" w:type="dxa"/>
            <w:vAlign w:val="center"/>
          </w:tcPr>
          <w:p>
            <w:pPr>
              <w:pStyle w:val="17"/>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22102</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住房改革支出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14.75</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14.75</w:t>
            </w:r>
          </w:p>
        </w:tc>
        <w:tc>
          <w:tcPr>
            <w:tcW w:w="2551" w:type="dxa"/>
            <w:vAlign w:val="center"/>
          </w:tcPr>
          <w:p>
            <w:pPr>
              <w:pStyle w:val="17"/>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2210201</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住房公积金</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14.75</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14.75</w:t>
            </w:r>
          </w:p>
        </w:tc>
        <w:tc>
          <w:tcPr>
            <w:tcW w:w="2551" w:type="dxa"/>
            <w:vAlign w:val="center"/>
          </w:tcPr>
          <w:p>
            <w:pPr>
              <w:pStyle w:val="17"/>
              <w:rPr>
                <w:rFonts w:hint="eastAsia" w:ascii="方正书宋_GBK" w:hAnsi="方正书宋_GBK" w:eastAsia="方正书宋_GBK" w:cs="方正书宋_GBK"/>
                <w:sz w:val="21"/>
                <w:szCs w:val="24"/>
                <w:lang w:val="en-US" w:eastAsia="uk-UA" w:bidi="ar-SA"/>
              </w:rPr>
            </w:pPr>
          </w:p>
        </w:tc>
      </w:tr>
    </w:tbl>
    <w:p>
      <w:pPr>
        <w:sectPr>
          <w:type w:val="continuous"/>
          <w:pgSz w:w="16840" w:h="11900" w:orient="landscape"/>
          <w:pgMar w:top="1361" w:right="1021" w:bottom="1134" w:left="1021" w:header="720" w:footer="720" w:gutter="0"/>
          <w:cols w:space="720" w:num="1"/>
        </w:sect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809001涞水县胡家庄乡人民政府本级</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3"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支出部门经济分类科目</w:t>
            </w:r>
          </w:p>
        </w:tc>
        <w:tc>
          <w:tcPr>
            <w:tcW w:w="7654" w:type="dxa"/>
            <w:gridSpan w:val="3"/>
            <w:vAlign w:val="center"/>
          </w:tcPr>
          <w:p>
            <w:pPr>
              <w:pStyle w:val="16"/>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Align w:val="center"/>
          </w:tcPr>
          <w:p>
            <w:pPr>
              <w:pStyle w:val="16"/>
            </w:pPr>
            <w:r>
              <w:rPr>
                <w:rFonts w:hint="eastAsia"/>
              </w:rPr>
              <w:t>合计</w:t>
            </w:r>
          </w:p>
        </w:tc>
        <w:tc>
          <w:tcPr>
            <w:tcW w:w="2551" w:type="dxa"/>
            <w:vAlign w:val="center"/>
          </w:tcPr>
          <w:p>
            <w:pPr>
              <w:pStyle w:val="16"/>
            </w:pPr>
            <w:r>
              <w:rPr>
                <w:rFonts w:hint="eastAsia"/>
              </w:rPr>
              <w:t>人员经费</w:t>
            </w:r>
          </w:p>
        </w:tc>
        <w:tc>
          <w:tcPr>
            <w:tcW w:w="2552" w:type="dxa"/>
            <w:vAlign w:val="center"/>
          </w:tcPr>
          <w:p>
            <w:pPr>
              <w:pStyle w:val="16"/>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2"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rPr>
                <w:rFonts w:hint="eastAsia"/>
              </w:rPr>
              <w:t>合计</w:t>
            </w:r>
          </w:p>
        </w:tc>
        <w:tc>
          <w:tcPr>
            <w:tcW w:w="2551" w:type="dxa"/>
            <w:vAlign w:val="center"/>
          </w:tcPr>
          <w:p>
            <w:pPr>
              <w:pStyle w:val="21"/>
              <w:rPr>
                <w:rFonts w:hint="default" w:eastAsia="方正书宋_GBK"/>
                <w:lang w:val="en-US" w:eastAsia="zh-CN"/>
              </w:rPr>
            </w:pPr>
            <w:r>
              <w:rPr>
                <w:rFonts w:hint="eastAsia"/>
                <w:lang w:val="en-US" w:eastAsia="zh-CN"/>
              </w:rPr>
              <w:t>310.98</w:t>
            </w:r>
          </w:p>
        </w:tc>
        <w:tc>
          <w:tcPr>
            <w:tcW w:w="2551" w:type="dxa"/>
            <w:vAlign w:val="center"/>
          </w:tcPr>
          <w:p>
            <w:pPr>
              <w:pStyle w:val="21"/>
              <w:rPr>
                <w:rFonts w:hint="default" w:eastAsia="方正书宋_GBK"/>
                <w:lang w:val="en-US" w:eastAsia="zh-CN"/>
              </w:rPr>
            </w:pPr>
            <w:r>
              <w:rPr>
                <w:rFonts w:hint="eastAsia"/>
                <w:lang w:val="en-US" w:eastAsia="zh-CN"/>
              </w:rPr>
              <w:t>251.79</w:t>
            </w:r>
          </w:p>
        </w:tc>
        <w:tc>
          <w:tcPr>
            <w:tcW w:w="2552" w:type="dxa"/>
            <w:vAlign w:val="center"/>
          </w:tcPr>
          <w:p>
            <w:pPr>
              <w:pStyle w:val="21"/>
              <w:rPr>
                <w:rFonts w:hint="default" w:eastAsia="方正书宋_GBK"/>
                <w:lang w:val="en-US" w:eastAsia="zh-CN"/>
              </w:rPr>
            </w:pPr>
            <w:r>
              <w:rPr>
                <w:rFonts w:hint="eastAsia"/>
                <w:lang w:val="en-US" w:eastAsia="zh-CN"/>
              </w:rPr>
              <w:t>59.19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301</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工资福利支出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250.19</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250.19</w:t>
            </w: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30101</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基本工资</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107.55</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107.55</w:t>
            </w: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30102</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津贴补贴</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60.70</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60.70</w:t>
            </w: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30103</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奖金</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4.80</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4.80</w:t>
            </w: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30107</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绩效工资</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26.91</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26.91</w:t>
            </w: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30108</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机关事业单位基本养老保险缴费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24.94</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24.94</w:t>
            </w: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30110</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城镇职工基本医疗保险缴费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9.41</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9.41</w:t>
            </w: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30112</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其他社会保障缴费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1.13</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1.13</w:t>
            </w: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30113</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住房公积金</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14.75</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14.75</w:t>
            </w: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商品和服务支出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59.19</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59.19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30201</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办公费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11.49</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11.49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30207</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邮电费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0.18</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30208</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取暖费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6.00</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30211</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差旅费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30217</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公务接待费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1.50</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30226</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劳务费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21.88</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21.88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30228</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工会经费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2.10</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30229</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福利费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3.06</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30231</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公务用车运行维护费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4.00</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21</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30239</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其他交通费用</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8.70</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8.70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22</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30299</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其他商品和服务支出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0.28</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23</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303</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对个人和家庭的补助</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1.60</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1.60</w:t>
            </w: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24</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30305</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生活补助</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1.60</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1.60</w:t>
            </w: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809001涞水县胡家庄乡人民政府本级</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outlineLvl w:val="4"/>
        <w:rPr>
          <w:rFonts w:ascii="方正小标宋_GBK" w:hAnsi="方正小标宋_GBK" w:eastAsia="方正小标宋_GBK" w:cs="方正小标宋_GBK"/>
          <w:color w:val="000000"/>
          <w:sz w:val="36"/>
          <w:lang w:eastAsia="zh-CN"/>
        </w:rPr>
      </w:pPr>
    </w:p>
    <w:p>
      <w:pPr>
        <w:jc w:val="both"/>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809001涞水县胡家庄乡人民政府本级</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rPr>
          <w:lang w:eastAsia="zh-CN"/>
        </w:rPr>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809001涞水县胡家庄乡人民政府本级</w:t>
            </w:r>
          </w:p>
        </w:tc>
        <w:tc>
          <w:tcPr>
            <w:tcW w:w="238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3798" w:type="dxa"/>
            <w:vMerge w:val="restart"/>
            <w:vAlign w:val="center"/>
          </w:tcPr>
          <w:p>
            <w:pPr>
              <w:pStyle w:val="16"/>
            </w:pPr>
            <w:r>
              <w:rPr>
                <w:rFonts w:hint="eastAsia"/>
              </w:rPr>
              <w:t>项</w:t>
            </w:r>
            <w:r>
              <w:t xml:space="preserve">  </w:t>
            </w:r>
            <w:r>
              <w:rPr>
                <w:rFonts w:hint="eastAsia"/>
              </w:rPr>
              <w:t>目</w:t>
            </w:r>
          </w:p>
        </w:tc>
        <w:tc>
          <w:tcPr>
            <w:tcW w:w="9525" w:type="dxa"/>
            <w:gridSpan w:val="4"/>
            <w:vAlign w:val="center"/>
          </w:tcPr>
          <w:p>
            <w:pPr>
              <w:pStyle w:val="16"/>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6"/>
            </w:pPr>
            <w:r>
              <w:rPr>
                <w:rFonts w:hint="eastAsia"/>
              </w:rPr>
              <w:t>合计</w:t>
            </w:r>
          </w:p>
        </w:tc>
        <w:tc>
          <w:tcPr>
            <w:tcW w:w="2381" w:type="dxa"/>
            <w:vAlign w:val="center"/>
          </w:tcPr>
          <w:p>
            <w:pPr>
              <w:pStyle w:val="16"/>
            </w:pPr>
            <w:r>
              <w:rPr>
                <w:rFonts w:hint="eastAsia"/>
              </w:rPr>
              <w:t>一般公共预算</w:t>
            </w:r>
            <w:r>
              <w:t xml:space="preserve">              </w:t>
            </w:r>
            <w:r>
              <w:rPr>
                <w:rFonts w:hint="eastAsia"/>
              </w:rPr>
              <w:t>财政拨款</w:t>
            </w:r>
          </w:p>
        </w:tc>
        <w:tc>
          <w:tcPr>
            <w:tcW w:w="2381" w:type="dxa"/>
            <w:vAlign w:val="center"/>
          </w:tcPr>
          <w:p>
            <w:pPr>
              <w:pStyle w:val="16"/>
            </w:pPr>
            <w:r>
              <w:rPr>
                <w:rFonts w:hint="eastAsia"/>
              </w:rPr>
              <w:t>政府性基金</w:t>
            </w:r>
            <w:r>
              <w:t xml:space="preserve">                  </w:t>
            </w:r>
            <w:r>
              <w:rPr>
                <w:rFonts w:hint="eastAsia"/>
              </w:rPr>
              <w:t>预算拨款</w:t>
            </w:r>
          </w:p>
        </w:tc>
        <w:tc>
          <w:tcPr>
            <w:tcW w:w="2381" w:type="dxa"/>
            <w:vAlign w:val="center"/>
          </w:tcPr>
          <w:p>
            <w:pPr>
              <w:pStyle w:val="16"/>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rPr>
                <w:rFonts w:hint="eastAsia"/>
              </w:rPr>
              <w:t>栏次</w:t>
            </w:r>
          </w:p>
        </w:tc>
        <w:tc>
          <w:tcPr>
            <w:tcW w:w="3798" w:type="dxa"/>
            <w:vAlign w:val="center"/>
          </w:tcPr>
          <w:p>
            <w:pPr>
              <w:pStyle w:val="16"/>
            </w:pPr>
            <w:r>
              <w:t>1</w:t>
            </w:r>
          </w:p>
        </w:tc>
        <w:tc>
          <w:tcPr>
            <w:tcW w:w="2382"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1</w:t>
            </w:r>
          </w:p>
        </w:tc>
        <w:tc>
          <w:tcPr>
            <w:tcW w:w="3798" w:type="dxa"/>
            <w:vAlign w:val="center"/>
          </w:tcPr>
          <w:p>
            <w:pPr>
              <w:pStyle w:val="20"/>
            </w:pPr>
            <w:r>
              <w:rPr>
                <w:rFonts w:hint="eastAsia"/>
              </w:rPr>
              <w:t>合计</w:t>
            </w:r>
          </w:p>
        </w:tc>
        <w:tc>
          <w:tcPr>
            <w:tcW w:w="2382" w:type="dxa"/>
            <w:vAlign w:val="center"/>
          </w:tcPr>
          <w:p>
            <w:pPr>
              <w:pStyle w:val="21"/>
              <w:rPr>
                <w:rFonts w:hint="default" w:eastAsia="方正书宋_GBK"/>
                <w:lang w:val="en-US" w:eastAsia="zh-CN"/>
              </w:rPr>
            </w:pPr>
            <w:r>
              <w:rPr>
                <w:rFonts w:hint="eastAsia"/>
                <w:lang w:val="en-US" w:eastAsia="zh-CN"/>
              </w:rPr>
              <w:t>5.50</w:t>
            </w:r>
          </w:p>
        </w:tc>
        <w:tc>
          <w:tcPr>
            <w:tcW w:w="2381" w:type="dxa"/>
            <w:vAlign w:val="center"/>
          </w:tcPr>
          <w:p>
            <w:pPr>
              <w:pStyle w:val="21"/>
              <w:rPr>
                <w:rFonts w:hint="default" w:eastAsia="方正书宋_GBK"/>
                <w:lang w:val="en-US" w:eastAsia="zh-CN"/>
              </w:rPr>
            </w:pPr>
            <w:r>
              <w:rPr>
                <w:rFonts w:hint="eastAsia"/>
                <w:lang w:val="en-US" w:eastAsia="zh-CN"/>
              </w:rPr>
              <w:t>5.50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2</w:t>
            </w:r>
          </w:p>
        </w:tc>
        <w:tc>
          <w:tcPr>
            <w:tcW w:w="3798" w:type="dxa"/>
            <w:vAlign w:val="center"/>
          </w:tcPr>
          <w:p>
            <w:pPr>
              <w:pStyle w:val="18"/>
            </w:pPr>
            <w:r>
              <w:rPr>
                <w:rFonts w:hint="eastAsia"/>
              </w:rPr>
              <w:t>“三公”经费小计</w:t>
            </w:r>
          </w:p>
        </w:tc>
        <w:tc>
          <w:tcPr>
            <w:tcW w:w="2382" w:type="dxa"/>
            <w:vAlign w:val="center"/>
          </w:tcPr>
          <w:p>
            <w:pPr>
              <w:pStyle w:val="21"/>
              <w:rPr>
                <w:rFonts w:hint="default" w:ascii="方正书宋_GBK" w:hAnsi="方正书宋_GBK" w:eastAsia="方正书宋_GBK" w:cs="方正书宋_GBK"/>
                <w:b/>
                <w:sz w:val="21"/>
                <w:szCs w:val="24"/>
                <w:lang w:val="en-US" w:eastAsia="zh-CN" w:bidi="ar-SA"/>
              </w:rPr>
            </w:pPr>
            <w:r>
              <w:rPr>
                <w:rFonts w:hint="eastAsia"/>
                <w:lang w:val="en-US" w:eastAsia="zh-CN"/>
              </w:rPr>
              <w:t>5.50</w:t>
            </w:r>
          </w:p>
        </w:tc>
        <w:tc>
          <w:tcPr>
            <w:tcW w:w="2381" w:type="dxa"/>
            <w:vAlign w:val="center"/>
          </w:tcPr>
          <w:p>
            <w:pPr>
              <w:pStyle w:val="21"/>
              <w:rPr>
                <w:rFonts w:hint="default" w:ascii="方正书宋_GBK" w:hAnsi="方正书宋_GBK" w:eastAsia="方正书宋_GBK" w:cs="方正书宋_GBK"/>
                <w:b/>
                <w:sz w:val="21"/>
                <w:szCs w:val="24"/>
                <w:lang w:val="en-US" w:eastAsia="zh-CN" w:bidi="ar-SA"/>
              </w:rPr>
            </w:pPr>
            <w:r>
              <w:rPr>
                <w:rFonts w:hint="eastAsia"/>
                <w:lang w:val="en-US" w:eastAsia="zh-CN"/>
              </w:rPr>
              <w:t>5.50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3</w:t>
            </w:r>
          </w:p>
        </w:tc>
        <w:tc>
          <w:tcPr>
            <w:tcW w:w="3798" w:type="dxa"/>
            <w:vAlign w:val="center"/>
          </w:tcPr>
          <w:p>
            <w:pPr>
              <w:pStyle w:val="18"/>
            </w:pPr>
            <w:r>
              <w:rPr>
                <w:rFonts w:hint="eastAsia"/>
              </w:rPr>
              <w:t>一、因公出国（境）费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4</w:t>
            </w:r>
          </w:p>
        </w:tc>
        <w:tc>
          <w:tcPr>
            <w:tcW w:w="3798" w:type="dxa"/>
            <w:vAlign w:val="center"/>
          </w:tcPr>
          <w:p>
            <w:pPr>
              <w:pStyle w:val="18"/>
            </w:pPr>
            <w:r>
              <w:t xml:space="preserve">    </w:t>
            </w:r>
            <w:r>
              <w:rPr>
                <w:rFonts w:hint="eastAsia"/>
              </w:rPr>
              <w:t>其中：教学科研人员因公出国（境）费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5</w:t>
            </w:r>
          </w:p>
        </w:tc>
        <w:tc>
          <w:tcPr>
            <w:tcW w:w="3798" w:type="dxa"/>
            <w:vAlign w:val="center"/>
          </w:tcPr>
          <w:p>
            <w:pPr>
              <w:pStyle w:val="18"/>
            </w:pPr>
            <w:r>
              <w:t xml:space="preserve">          </w:t>
            </w:r>
            <w:r>
              <w:rPr>
                <w:rFonts w:hint="eastAsia"/>
              </w:rPr>
              <w:t>其他因公出国（境）费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6</w:t>
            </w:r>
          </w:p>
        </w:tc>
        <w:tc>
          <w:tcPr>
            <w:tcW w:w="3798" w:type="dxa"/>
            <w:vAlign w:val="center"/>
          </w:tcPr>
          <w:p>
            <w:pPr>
              <w:pStyle w:val="18"/>
            </w:pPr>
            <w:r>
              <w:rPr>
                <w:rFonts w:hint="eastAsia"/>
              </w:rPr>
              <w:t>二、公务用车购置及运维费</w:t>
            </w:r>
          </w:p>
        </w:tc>
        <w:tc>
          <w:tcPr>
            <w:tcW w:w="238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4.00</w:t>
            </w:r>
          </w:p>
        </w:tc>
        <w:tc>
          <w:tcPr>
            <w:tcW w:w="238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4.00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7</w:t>
            </w:r>
          </w:p>
        </w:tc>
        <w:tc>
          <w:tcPr>
            <w:tcW w:w="3798" w:type="dxa"/>
            <w:vAlign w:val="center"/>
          </w:tcPr>
          <w:p>
            <w:pPr>
              <w:pStyle w:val="18"/>
            </w:pPr>
            <w:r>
              <w:t xml:space="preserve">    </w:t>
            </w:r>
            <w:r>
              <w:rPr>
                <w:rFonts w:hint="eastAsia"/>
              </w:rPr>
              <w:t>其中：公务用车购置费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8</w:t>
            </w:r>
          </w:p>
        </w:tc>
        <w:tc>
          <w:tcPr>
            <w:tcW w:w="3798" w:type="dxa"/>
            <w:vAlign w:val="center"/>
          </w:tcPr>
          <w:p>
            <w:pPr>
              <w:pStyle w:val="18"/>
            </w:pPr>
            <w:r>
              <w:t xml:space="preserve">          </w:t>
            </w:r>
            <w:r>
              <w:rPr>
                <w:rFonts w:hint="eastAsia"/>
              </w:rPr>
              <w:t>公务用车运行维护费</w:t>
            </w:r>
          </w:p>
        </w:tc>
        <w:tc>
          <w:tcPr>
            <w:tcW w:w="2382" w:type="dxa"/>
            <w:vAlign w:val="center"/>
          </w:tcPr>
          <w:p>
            <w:pPr>
              <w:pStyle w:val="17"/>
              <w:rPr>
                <w:rFonts w:hint="default" w:eastAsia="方正书宋_GBK"/>
                <w:lang w:val="en-US" w:eastAsia="zh-CN"/>
              </w:rPr>
            </w:pPr>
            <w:r>
              <w:rPr>
                <w:rFonts w:hint="eastAsia"/>
                <w:lang w:val="en-US" w:eastAsia="zh-CN"/>
              </w:rPr>
              <w:t>4.00</w:t>
            </w:r>
          </w:p>
        </w:tc>
        <w:tc>
          <w:tcPr>
            <w:tcW w:w="2381" w:type="dxa"/>
            <w:vAlign w:val="center"/>
          </w:tcPr>
          <w:p>
            <w:pPr>
              <w:pStyle w:val="17"/>
              <w:rPr>
                <w:rFonts w:hint="default" w:eastAsia="方正书宋_GBK"/>
                <w:lang w:val="en-US" w:eastAsia="zh-CN"/>
              </w:rPr>
            </w:pPr>
            <w:r>
              <w:rPr>
                <w:rFonts w:hint="eastAsia"/>
                <w:lang w:val="en-US" w:eastAsia="zh-CN"/>
              </w:rPr>
              <w:t>4.00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9</w:t>
            </w:r>
          </w:p>
        </w:tc>
        <w:tc>
          <w:tcPr>
            <w:tcW w:w="3798" w:type="dxa"/>
            <w:vAlign w:val="center"/>
          </w:tcPr>
          <w:p>
            <w:pPr>
              <w:pStyle w:val="18"/>
            </w:pPr>
            <w:r>
              <w:rPr>
                <w:rFonts w:hint="eastAsia"/>
              </w:rPr>
              <w:t>三、公务接待费</w:t>
            </w:r>
          </w:p>
        </w:tc>
        <w:tc>
          <w:tcPr>
            <w:tcW w:w="2382" w:type="dxa"/>
            <w:vAlign w:val="center"/>
          </w:tcPr>
          <w:p>
            <w:pPr>
              <w:pStyle w:val="17"/>
              <w:rPr>
                <w:rFonts w:hint="default" w:eastAsia="方正书宋_GBK"/>
                <w:lang w:val="en-US" w:eastAsia="zh-CN"/>
              </w:rPr>
            </w:pPr>
            <w:r>
              <w:rPr>
                <w:rFonts w:hint="eastAsia"/>
                <w:lang w:val="en-US" w:eastAsia="zh-CN"/>
              </w:rPr>
              <w:t>1.50</w:t>
            </w:r>
          </w:p>
        </w:tc>
        <w:tc>
          <w:tcPr>
            <w:tcW w:w="2381" w:type="dxa"/>
            <w:vAlign w:val="center"/>
          </w:tcPr>
          <w:p>
            <w:pPr>
              <w:pStyle w:val="17"/>
              <w:rPr>
                <w:rFonts w:hint="default" w:eastAsia="方正书宋_GBK"/>
                <w:lang w:val="en-US" w:eastAsia="zh-CN"/>
              </w:rPr>
            </w:pPr>
            <w:r>
              <w:rPr>
                <w:rFonts w:hint="eastAsia"/>
                <w:lang w:val="en-US" w:eastAsia="zh-CN"/>
              </w:rPr>
              <w:t>1.50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p>
        </w:tc>
        <w:tc>
          <w:tcPr>
            <w:tcW w:w="3798" w:type="dxa"/>
            <w:vAlign w:val="center"/>
          </w:tcPr>
          <w:p>
            <w:pPr>
              <w:pStyle w:val="18"/>
            </w:pP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p>
        </w:tc>
        <w:tc>
          <w:tcPr>
            <w:tcW w:w="3798" w:type="dxa"/>
            <w:vAlign w:val="center"/>
          </w:tcPr>
          <w:p>
            <w:pPr>
              <w:pStyle w:val="18"/>
            </w:pP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bl>
    <w:p>
      <w:pPr>
        <w:sectPr>
          <w:type w:val="continuous"/>
          <w:pgSz w:w="16840" w:h="11900" w:orient="landscape"/>
          <w:pgMar w:top="1361" w:right="1021" w:bottom="1361" w:left="1021" w:header="720" w:footer="720" w:gutter="0"/>
          <w:cols w:space="720" w:num="1"/>
        </w:sectPr>
      </w:pPr>
    </w:p>
    <w:p>
      <w:pPr>
        <w:jc w:val="center"/>
        <w:outlineLvl w:val="4"/>
      </w:pPr>
      <w:r>
        <w:rPr>
          <w:rFonts w:hint="eastAsia" w:ascii="方正小标宋_GBK" w:hAnsi="方正小标宋_GBK" w:eastAsia="方正小标宋_GBK" w:cs="方正小标宋_GBK"/>
          <w:color w:val="000000"/>
          <w:sz w:val="44"/>
          <w:lang w:eastAsia="zh-CN"/>
        </w:rPr>
        <w:t>涞水县胡家庄乡人民政府本级</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《中华人民共和国预算法》</w:t>
      </w:r>
      <w:r>
        <w:rPr>
          <w:rFonts w:hint="eastAsia"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涞水县胡家庄乡人民政府本级</w:t>
      </w:r>
      <w:r>
        <w:rPr>
          <w:rFonts w:eastAsia="方正仿宋_GBK"/>
          <w:color w:val="000000"/>
          <w:sz w:val="28"/>
        </w:rPr>
        <w:t>2022</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单位职责：</w:t>
      </w:r>
    </w:p>
    <w:p>
      <w:pPr>
        <w:pStyle w:val="23"/>
        <w:rPr>
          <w:rFonts w:hint="eastAsia"/>
          <w:lang w:eastAsia="zh-CN"/>
        </w:rPr>
      </w:pPr>
      <w:r>
        <w:rPr>
          <w:rFonts w:hint="eastAsia"/>
          <w:lang w:eastAsia="zh-CN"/>
        </w:rPr>
        <w:t>（一）宣传贯彻执行党的路线方针政策和党中央、上级党组织及本镇党员代表大会（党员大会）的决议。贯彻执行法律、法规、规章和上级人民代表大会及其常务委员会决议及上级政府的决定、命令，执行本级人民代表大会的决议。</w:t>
      </w:r>
    </w:p>
    <w:p>
      <w:pPr>
        <w:pStyle w:val="23"/>
        <w:rPr>
          <w:rFonts w:hint="eastAsia"/>
          <w:lang w:eastAsia="zh-CN"/>
        </w:rPr>
      </w:pPr>
      <w:r>
        <w:rPr>
          <w:rFonts w:hint="eastAsia"/>
          <w:lang w:eastAsia="zh-CN"/>
        </w:rPr>
        <w:t>（二）加强党对基层治理的全面领导，统筹抓好基层党建工作和基层党组织建设各项制度。推进全面从严治党，强化“两个责任”， 确保党的路线方针政策在基层得到全面贯彻落实。</w:t>
      </w:r>
    </w:p>
    <w:p>
      <w:pPr>
        <w:pStyle w:val="23"/>
        <w:rPr>
          <w:rFonts w:hint="eastAsia"/>
          <w:lang w:eastAsia="zh-CN"/>
        </w:rPr>
      </w:pPr>
      <w:r>
        <w:rPr>
          <w:rFonts w:hint="eastAsia"/>
          <w:lang w:eastAsia="zh-CN"/>
        </w:rPr>
        <w:t>（三）讨论和决定本镇经济建设、政治建设、文化建设、社会建设、生态文明建设和党的建设以及乡村振兴中的重大问题。</w:t>
      </w:r>
    </w:p>
    <w:p>
      <w:pPr>
        <w:pStyle w:val="23"/>
        <w:rPr>
          <w:rFonts w:hint="eastAsia"/>
          <w:lang w:eastAsia="zh-CN"/>
        </w:rPr>
      </w:pPr>
      <w:r>
        <w:rPr>
          <w:rFonts w:hint="eastAsia"/>
          <w:lang w:eastAsia="zh-CN"/>
        </w:rPr>
        <w:t>（四）组织召开本级人民代表大会，充分行使重大事项决定权、监督权和任免权，做好人大代表工作，联系选民、反映群众意见和要求。</w:t>
      </w:r>
    </w:p>
    <w:p>
      <w:pPr>
        <w:pStyle w:val="23"/>
        <w:rPr>
          <w:rFonts w:hint="eastAsia"/>
          <w:lang w:eastAsia="zh-CN"/>
        </w:rPr>
      </w:pPr>
      <w:r>
        <w:rPr>
          <w:rFonts w:hint="eastAsia"/>
          <w:lang w:eastAsia="zh-CN"/>
        </w:rPr>
        <w:t>（五）组织实施与群众生活密切相关的各项公共服务，落实基层“最多跑一次”改革工作，拓宽服务渠道，改进服务方式，建立健全群众办事一次办结机制，推进镇便民服务平台标准化建设，实行“一站式服务”“一枚印章管审批（服务）”， 提升群众获得感和幸福感。</w:t>
      </w:r>
    </w:p>
    <w:p>
      <w:pPr>
        <w:pStyle w:val="23"/>
        <w:rPr>
          <w:rFonts w:hint="eastAsia"/>
          <w:lang w:eastAsia="zh-CN"/>
        </w:rPr>
      </w:pPr>
      <w:r>
        <w:rPr>
          <w:rFonts w:hint="eastAsia"/>
          <w:lang w:eastAsia="zh-CN"/>
        </w:rPr>
        <w:t>（六）执行本行政区域内的经济和社会发展计划、预算，管理本行政区域内的经济、教育、科学、文化、卫生健康、体育事业、人力资源和社会保障、医疗保障和财政、统计、民政、司法行政等行政工作。落实本行政区域内发展规划、专项规划、区域规划、国土空间规划。</w:t>
      </w:r>
    </w:p>
    <w:p>
      <w:pPr>
        <w:pStyle w:val="23"/>
        <w:rPr>
          <w:rFonts w:hint="eastAsia"/>
          <w:lang w:eastAsia="zh-CN"/>
        </w:rPr>
      </w:pPr>
      <w:r>
        <w:rPr>
          <w:rFonts w:hint="eastAsia"/>
          <w:lang w:eastAsia="zh-CN"/>
        </w:rPr>
        <w:t>（七）镇党委领导镇政权机关、群团组织和其他各类组织，</w:t>
      </w:r>
    </w:p>
    <w:p>
      <w:pPr>
        <w:pStyle w:val="23"/>
        <w:rPr>
          <w:rFonts w:hint="eastAsia"/>
          <w:lang w:eastAsia="zh-CN"/>
        </w:rPr>
      </w:pPr>
      <w:r>
        <w:rPr>
          <w:rFonts w:hint="eastAsia"/>
          <w:lang w:eastAsia="zh-CN"/>
        </w:rPr>
        <w:t>加强指导和规范，支持和保证这些机关和组织依照国家法律法规以及各自章程履行职责。坚持党管武装的根本原则和制度，协调各方力量，对镇人民武装工作实行统一领导。</w:t>
      </w:r>
    </w:p>
    <w:p>
      <w:pPr>
        <w:pStyle w:val="23"/>
        <w:rPr>
          <w:rFonts w:hint="eastAsia"/>
          <w:lang w:eastAsia="zh-CN"/>
        </w:rPr>
      </w:pPr>
      <w:r>
        <w:rPr>
          <w:rFonts w:hint="eastAsia"/>
          <w:lang w:eastAsia="zh-CN"/>
        </w:rPr>
        <w:t>（八）加强镇党委自身建设和村党组织建设，以及其他隶属镇党委的党组织建设，抓好发展党员工作，加强党员队伍建设。维护和执行党的纪律，监督党员干部和其他任何工作人员严格遵守国家法律法规。</w:t>
      </w:r>
    </w:p>
    <w:p>
      <w:pPr>
        <w:pStyle w:val="23"/>
        <w:rPr>
          <w:rFonts w:hint="eastAsia"/>
          <w:lang w:eastAsia="zh-CN"/>
        </w:rPr>
      </w:pPr>
      <w:r>
        <w:rPr>
          <w:rFonts w:hint="eastAsia"/>
          <w:lang w:eastAsia="zh-CN"/>
        </w:rPr>
        <w:t>（九）按照干部管理权限，负责对干部的教育、培训、选拔、考核和监督工作。协助管理上级有关部门驻本镇单位的干部。做好人才服务工作。</w:t>
      </w:r>
    </w:p>
    <w:p>
      <w:pPr>
        <w:pStyle w:val="23"/>
        <w:rPr>
          <w:rFonts w:hint="eastAsia"/>
          <w:lang w:eastAsia="zh-CN"/>
        </w:rPr>
      </w:pPr>
      <w:r>
        <w:rPr>
          <w:rFonts w:hint="eastAsia"/>
          <w:lang w:eastAsia="zh-CN"/>
        </w:rPr>
        <w:t>（十）领导本镇的基层治理，加强社会主义民主法治建设和精神文明建设，加强社会治安综合治理，推行网格化管理服务，落实社会矛盾纠纷排查调处机制，综合发挥人民调解、行政调解和司法调解的作用，及时化解辖区社会矛盾，维护安全稳定。做好综合执法、应急管理、自然资源和生态环保、乡村振兴、民生保障、脱贫致富、民族宗教、防范邪教等工作。承担民兵预备役、征兵、退役军人服务、拥军优属等工作。</w:t>
      </w:r>
    </w:p>
    <w:p>
      <w:pPr>
        <w:pStyle w:val="23"/>
        <w:rPr>
          <w:rFonts w:hint="eastAsia"/>
          <w:lang w:eastAsia="zh-CN"/>
        </w:rPr>
      </w:pPr>
      <w:r>
        <w:rPr>
          <w:rFonts w:hint="eastAsia"/>
          <w:lang w:eastAsia="zh-CN"/>
        </w:rPr>
        <w:t>（十一）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23"/>
      </w:pPr>
      <w:r>
        <w:rPr>
          <w:rFonts w:hint="eastAsia"/>
          <w:lang w:eastAsia="zh-CN"/>
        </w:rPr>
        <w:t>（十二）承办上级党委、人大、政府交办的其他事项。</w:t>
      </w: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rPr>
                <w:rFonts w:hint="eastAsia"/>
              </w:rPr>
              <w:t>单位名称</w:t>
            </w:r>
          </w:p>
        </w:tc>
        <w:tc>
          <w:tcPr>
            <w:tcW w:w="1843" w:type="dxa"/>
            <w:vAlign w:val="center"/>
          </w:tcPr>
          <w:p>
            <w:pPr>
              <w:pStyle w:val="16"/>
            </w:pPr>
            <w:r>
              <w:rPr>
                <w:rFonts w:hint="eastAsia"/>
              </w:rPr>
              <w:t>单位性质</w:t>
            </w:r>
          </w:p>
        </w:tc>
        <w:tc>
          <w:tcPr>
            <w:tcW w:w="2126" w:type="dxa"/>
            <w:vAlign w:val="center"/>
          </w:tcPr>
          <w:p>
            <w:pPr>
              <w:pStyle w:val="16"/>
            </w:pPr>
            <w:r>
              <w:rPr>
                <w:rFonts w:hint="eastAsia"/>
              </w:rPr>
              <w:t>单位规格</w:t>
            </w:r>
          </w:p>
        </w:tc>
        <w:tc>
          <w:tcPr>
            <w:tcW w:w="3827" w:type="dxa"/>
            <w:vAlign w:val="center"/>
          </w:tcPr>
          <w:p>
            <w:pPr>
              <w:pStyle w:val="16"/>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rPr>
                <w:rFonts w:hint="eastAsia"/>
                <w:lang w:eastAsia="zh-CN"/>
              </w:rPr>
              <w:t>涞水县胡家庄乡人民政府本级</w:t>
            </w:r>
          </w:p>
        </w:tc>
        <w:tc>
          <w:tcPr>
            <w:tcW w:w="1843" w:type="dxa"/>
            <w:vAlign w:val="center"/>
          </w:tcPr>
          <w:p>
            <w:pPr>
              <w:pStyle w:val="19"/>
            </w:pPr>
            <w:r>
              <w:rPr>
                <w:rFonts w:hint="eastAsia"/>
              </w:rPr>
              <w:t>行政</w:t>
            </w:r>
          </w:p>
        </w:tc>
        <w:tc>
          <w:tcPr>
            <w:tcW w:w="2126" w:type="dxa"/>
            <w:vAlign w:val="center"/>
          </w:tcPr>
          <w:p>
            <w:pPr>
              <w:pStyle w:val="19"/>
            </w:pPr>
            <w:r>
              <w:rPr>
                <w:rFonts w:hint="eastAsia"/>
              </w:rPr>
              <w:t>正科级</w:t>
            </w:r>
          </w:p>
        </w:tc>
        <w:tc>
          <w:tcPr>
            <w:tcW w:w="3827" w:type="dxa"/>
            <w:vAlign w:val="center"/>
          </w:tcPr>
          <w:p>
            <w:pPr>
              <w:pStyle w:val="19"/>
            </w:pPr>
            <w:r>
              <w:rPr>
                <w:rFonts w:hint="eastAsia"/>
              </w:rPr>
              <w:t>财政拨款</w:t>
            </w:r>
          </w:p>
        </w:tc>
      </w:tr>
    </w:tbl>
    <w:p>
      <w:pPr>
        <w:spacing w:before="10" w:after="1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二、单位预算安排的总体情况</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72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1、202</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 xml:space="preserve">年收入说明 </w:t>
      </w:r>
    </w:p>
    <w:p>
      <w:pPr>
        <w:pStyle w:val="3"/>
        <w:spacing w:line="560" w:lineRule="exact"/>
        <w:ind w:firstLine="585"/>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年我单位年初预算总收入</w:t>
      </w:r>
      <w:r>
        <w:rPr>
          <w:rFonts w:hint="eastAsia" w:ascii="仿宋" w:hAnsi="仿宋" w:eastAsia="仿宋"/>
          <w:sz w:val="32"/>
          <w:szCs w:val="32"/>
          <w:lang w:val="en-US" w:eastAsia="zh-CN"/>
        </w:rPr>
        <w:t>327.98</w:t>
      </w:r>
      <w:r>
        <w:rPr>
          <w:rFonts w:hint="eastAsia" w:ascii="仿宋" w:hAnsi="仿宋" w:eastAsia="仿宋"/>
          <w:sz w:val="32"/>
          <w:szCs w:val="32"/>
        </w:rPr>
        <w:t>万元，其中：一般公共预算拨款收入</w:t>
      </w:r>
      <w:r>
        <w:rPr>
          <w:rFonts w:hint="eastAsia" w:ascii="仿宋" w:hAnsi="仿宋" w:eastAsia="仿宋"/>
          <w:sz w:val="32"/>
          <w:szCs w:val="32"/>
          <w:lang w:val="en-US" w:eastAsia="zh-CN"/>
        </w:rPr>
        <w:t>327.98</w:t>
      </w:r>
      <w:r>
        <w:rPr>
          <w:rFonts w:hint="eastAsia" w:ascii="仿宋" w:hAnsi="仿宋" w:eastAsia="仿宋"/>
          <w:sz w:val="32"/>
          <w:szCs w:val="32"/>
        </w:rPr>
        <w:t>元，政府性基本预算拨款0万元，国有资本经营预算拨款0万元，财政专户核拨收入 0 万元，其他来源收入0 万元。</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72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2、202</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年支出说明</w:t>
      </w:r>
    </w:p>
    <w:p>
      <w:pPr>
        <w:pStyle w:val="3"/>
        <w:spacing w:line="560" w:lineRule="exact"/>
        <w:ind w:firstLine="585"/>
        <w:rPr>
          <w:rFonts w:ascii="仿宋" w:hAnsi="仿宋" w:eastAsia="仿宋"/>
          <w:sz w:val="32"/>
          <w:szCs w:val="32"/>
        </w:rPr>
      </w:pPr>
      <w:r>
        <w:rPr>
          <w:rFonts w:hint="eastAsia" w:ascii="仿宋" w:hAnsi="仿宋" w:eastAsia="仿宋"/>
          <w:sz w:val="32"/>
          <w:szCs w:val="32"/>
        </w:rPr>
        <w:t>收支预算总表支出栏、基本支出表、项目支出表按经济分类和支出功能分类科目编制，反映我部门预算中支出预算的总体情况。202</w:t>
      </w:r>
      <w:r>
        <w:rPr>
          <w:rFonts w:hint="eastAsia" w:ascii="仿宋" w:hAnsi="仿宋" w:eastAsia="仿宋"/>
          <w:sz w:val="32"/>
          <w:szCs w:val="32"/>
          <w:lang w:val="en-US" w:eastAsia="zh-CN"/>
        </w:rPr>
        <w:t>2</w:t>
      </w:r>
      <w:r>
        <w:rPr>
          <w:rFonts w:hint="eastAsia" w:ascii="仿宋" w:hAnsi="仿宋" w:eastAsia="仿宋"/>
          <w:sz w:val="32"/>
          <w:szCs w:val="32"/>
        </w:rPr>
        <w:t>年我部门年初预算拨款支出</w:t>
      </w:r>
      <w:r>
        <w:rPr>
          <w:rFonts w:hint="eastAsia" w:ascii="仿宋" w:hAnsi="仿宋" w:eastAsia="仿宋"/>
          <w:sz w:val="32"/>
          <w:szCs w:val="32"/>
          <w:lang w:val="en-US" w:eastAsia="zh-CN"/>
        </w:rPr>
        <w:t>327.98</w:t>
      </w:r>
      <w:r>
        <w:rPr>
          <w:rFonts w:hint="eastAsia" w:ascii="仿宋" w:hAnsi="仿宋" w:eastAsia="仿宋"/>
          <w:sz w:val="32"/>
          <w:szCs w:val="32"/>
        </w:rPr>
        <w:t>万元。其中：基本支出</w:t>
      </w:r>
      <w:r>
        <w:rPr>
          <w:rFonts w:hint="eastAsia" w:ascii="仿宋" w:hAnsi="仿宋" w:eastAsia="仿宋"/>
          <w:sz w:val="32"/>
          <w:szCs w:val="32"/>
          <w:lang w:val="en-US" w:eastAsia="zh-CN"/>
        </w:rPr>
        <w:t>310.98</w:t>
      </w:r>
      <w:r>
        <w:rPr>
          <w:rFonts w:hint="eastAsia" w:ascii="仿宋" w:hAnsi="仿宋" w:eastAsia="仿宋"/>
          <w:sz w:val="32"/>
          <w:szCs w:val="32"/>
        </w:rPr>
        <w:t>万元，（人员经费预算</w:t>
      </w:r>
      <w:r>
        <w:rPr>
          <w:rFonts w:hint="eastAsia" w:ascii="仿宋" w:hAnsi="仿宋" w:eastAsia="仿宋"/>
          <w:sz w:val="32"/>
          <w:szCs w:val="32"/>
          <w:lang w:val="en-US" w:eastAsia="zh-CN"/>
        </w:rPr>
        <w:t>251.79</w:t>
      </w:r>
      <w:r>
        <w:rPr>
          <w:rFonts w:hint="eastAsia" w:ascii="仿宋" w:hAnsi="仿宋" w:eastAsia="仿宋"/>
          <w:sz w:val="32"/>
          <w:szCs w:val="32"/>
        </w:rPr>
        <w:t>万元；正常公用经费</w:t>
      </w:r>
      <w:r>
        <w:rPr>
          <w:rFonts w:hint="eastAsia" w:ascii="仿宋" w:hAnsi="仿宋" w:eastAsia="仿宋"/>
          <w:sz w:val="32"/>
          <w:szCs w:val="32"/>
          <w:lang w:val="en-US" w:eastAsia="zh-CN"/>
        </w:rPr>
        <w:t>59.19</w:t>
      </w:r>
      <w:r>
        <w:rPr>
          <w:rFonts w:hint="eastAsia" w:ascii="仿宋" w:hAnsi="仿宋" w:eastAsia="仿宋"/>
          <w:sz w:val="32"/>
          <w:szCs w:val="32"/>
        </w:rPr>
        <w:t>万元），项目支出</w:t>
      </w:r>
      <w:r>
        <w:rPr>
          <w:rFonts w:hint="eastAsia" w:ascii="仿宋" w:hAnsi="仿宋" w:eastAsia="仿宋"/>
          <w:sz w:val="32"/>
          <w:szCs w:val="32"/>
          <w:lang w:val="en-US" w:eastAsia="zh-CN"/>
        </w:rPr>
        <w:t>17</w:t>
      </w:r>
      <w:r>
        <w:rPr>
          <w:rFonts w:hint="eastAsia" w:ascii="仿宋" w:hAnsi="仿宋" w:eastAsia="仿宋"/>
          <w:sz w:val="32"/>
          <w:szCs w:val="32"/>
        </w:rPr>
        <w:t>万元，（主要是专项公用经费。）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321" w:firstLineChars="1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3、与上年增减情况</w:t>
      </w:r>
    </w:p>
    <w:p>
      <w:pPr>
        <w:spacing w:before="10" w:after="10"/>
        <w:ind w:firstLine="640"/>
        <w:outlineLvl w:val="5"/>
        <w:rPr>
          <w:rFonts w:hint="eastAsia" w:ascii="仿宋" w:hAnsi="仿宋" w:eastAsia="仿宋"/>
          <w:sz w:val="32"/>
          <w:szCs w:val="32"/>
          <w:lang w:eastAsia="zh-CN"/>
        </w:rPr>
      </w:pPr>
      <w:r>
        <w:rPr>
          <w:rFonts w:hint="eastAsia" w:ascii="仿宋" w:hAnsi="仿宋" w:eastAsia="仿宋"/>
          <w:sz w:val="32"/>
          <w:szCs w:val="32"/>
        </w:rPr>
        <w:t>本年度预算收支安排</w:t>
      </w:r>
      <w:r>
        <w:rPr>
          <w:rFonts w:hint="eastAsia" w:ascii="仿宋" w:hAnsi="仿宋" w:eastAsia="仿宋"/>
          <w:sz w:val="32"/>
          <w:szCs w:val="32"/>
          <w:lang w:val="en-US" w:eastAsia="zh-CN"/>
        </w:rPr>
        <w:t>327.98</w:t>
      </w:r>
      <w:r>
        <w:rPr>
          <w:rFonts w:hint="eastAsia" w:ascii="仿宋" w:hAnsi="仿宋" w:eastAsia="仿宋"/>
          <w:sz w:val="32"/>
          <w:szCs w:val="32"/>
        </w:rPr>
        <w:t>万元，较上年</w:t>
      </w:r>
      <w:r>
        <w:rPr>
          <w:rFonts w:hint="eastAsia" w:ascii="仿宋" w:hAnsi="仿宋" w:eastAsia="仿宋"/>
          <w:sz w:val="32"/>
          <w:szCs w:val="32"/>
          <w:lang w:eastAsia="zh-CN"/>
        </w:rPr>
        <w:t>减少</w:t>
      </w:r>
      <w:r>
        <w:rPr>
          <w:rFonts w:hint="eastAsia" w:ascii="仿宋" w:hAnsi="仿宋" w:eastAsia="仿宋"/>
          <w:sz w:val="32"/>
          <w:szCs w:val="32"/>
          <w:lang w:val="en-US" w:eastAsia="zh-CN"/>
        </w:rPr>
        <w:t>38.72</w:t>
      </w:r>
      <w:r>
        <w:rPr>
          <w:rFonts w:hint="eastAsia" w:ascii="仿宋" w:hAnsi="仿宋" w:eastAsia="仿宋"/>
          <w:sz w:val="32"/>
          <w:szCs w:val="32"/>
        </w:rPr>
        <w:t>万元，人员经费预算</w:t>
      </w:r>
      <w:r>
        <w:rPr>
          <w:rFonts w:hint="eastAsia" w:ascii="仿宋" w:hAnsi="仿宋" w:eastAsia="仿宋"/>
          <w:sz w:val="32"/>
          <w:szCs w:val="32"/>
          <w:lang w:eastAsia="zh-CN"/>
        </w:rPr>
        <w:t>减少</w:t>
      </w:r>
      <w:r>
        <w:rPr>
          <w:rFonts w:hint="eastAsia" w:ascii="仿宋" w:hAnsi="仿宋" w:eastAsia="仿宋"/>
          <w:sz w:val="32"/>
          <w:szCs w:val="32"/>
          <w:lang w:val="en-US" w:eastAsia="zh-CN"/>
        </w:rPr>
        <w:t>33.22</w:t>
      </w:r>
      <w:r>
        <w:rPr>
          <w:rFonts w:hint="eastAsia" w:ascii="仿宋" w:hAnsi="仿宋" w:eastAsia="仿宋"/>
          <w:sz w:val="32"/>
          <w:szCs w:val="32"/>
        </w:rPr>
        <w:t>万元，正常公用经费增加</w:t>
      </w:r>
      <w:r>
        <w:rPr>
          <w:rFonts w:hint="eastAsia" w:ascii="仿宋" w:hAnsi="仿宋" w:eastAsia="仿宋"/>
          <w:sz w:val="32"/>
          <w:szCs w:val="32"/>
          <w:lang w:val="en-US" w:eastAsia="zh-CN"/>
        </w:rPr>
        <w:t>18.5</w:t>
      </w:r>
      <w:r>
        <w:rPr>
          <w:rFonts w:hint="eastAsia" w:ascii="仿宋" w:hAnsi="仿宋" w:eastAsia="仿宋"/>
          <w:sz w:val="32"/>
          <w:szCs w:val="32"/>
        </w:rPr>
        <w:t>万元。</w:t>
      </w:r>
      <w:r>
        <w:rPr>
          <w:rFonts w:hint="eastAsia" w:ascii="仿宋" w:hAnsi="仿宋" w:eastAsia="仿宋"/>
          <w:sz w:val="32"/>
          <w:szCs w:val="32"/>
          <w:lang w:eastAsia="zh-CN"/>
        </w:rPr>
        <w:t>主要原因是人员变动情况。</w:t>
      </w:r>
    </w:p>
    <w:p>
      <w:pPr>
        <w:spacing w:before="10" w:after="10"/>
        <w:ind w:firstLine="640"/>
        <w:outlineLvl w:val="5"/>
      </w:pPr>
      <w:r>
        <w:rPr>
          <w:rFonts w:hint="eastAsia" w:ascii="黑体" w:hAnsi="黑体" w:eastAsia="黑体" w:cs="黑体"/>
          <w:color w:val="000000"/>
          <w:sz w:val="32"/>
        </w:rPr>
        <w:t>三、机关运行经费安排情况</w:t>
      </w:r>
    </w:p>
    <w:p>
      <w:pPr>
        <w:spacing w:line="500" w:lineRule="exact"/>
        <w:ind w:firstLine="560"/>
        <w:rPr>
          <w:rFonts w:eastAsia="方正仿宋_GBK"/>
          <w:color w:val="000000"/>
          <w:sz w:val="28"/>
        </w:rPr>
      </w:pPr>
      <w:r>
        <w:rPr>
          <w:rFonts w:hint="eastAsia" w:eastAsia="方正仿宋_GBK"/>
          <w:color w:val="000000"/>
          <w:sz w:val="28"/>
        </w:rPr>
        <w:t>2022年</w:t>
      </w:r>
      <w:r>
        <w:rPr>
          <w:rFonts w:hint="eastAsia" w:eastAsia="方正仿宋_GBK"/>
          <w:color w:val="000000"/>
          <w:sz w:val="28"/>
          <w:lang w:eastAsia="zh-CN"/>
        </w:rPr>
        <w:t>涞水县胡家庄乡人民政府本级</w:t>
      </w:r>
      <w:r>
        <w:rPr>
          <w:rFonts w:hint="eastAsia" w:eastAsia="方正仿宋_GBK"/>
          <w:color w:val="000000"/>
          <w:sz w:val="28"/>
        </w:rPr>
        <w:t>预算安排机关运行经费支出</w:t>
      </w:r>
      <w:r>
        <w:rPr>
          <w:rFonts w:hint="eastAsia" w:eastAsia="方正仿宋_GBK"/>
          <w:color w:val="000000"/>
          <w:sz w:val="28"/>
          <w:lang w:val="en-US" w:eastAsia="zh-CN"/>
        </w:rPr>
        <w:t>59.19</w:t>
      </w:r>
      <w:r>
        <w:rPr>
          <w:rFonts w:hint="eastAsia" w:eastAsia="方正仿宋_GBK"/>
          <w:color w:val="000000"/>
          <w:sz w:val="28"/>
        </w:rPr>
        <w:t>万元，其中包括办公费</w:t>
      </w:r>
      <w:r>
        <w:rPr>
          <w:rFonts w:hint="eastAsia" w:eastAsia="方正仿宋_GBK"/>
          <w:color w:val="000000"/>
          <w:sz w:val="28"/>
          <w:lang w:val="en-US" w:eastAsia="zh-CN"/>
        </w:rPr>
        <w:t>14.05</w:t>
      </w:r>
      <w:r>
        <w:rPr>
          <w:rFonts w:hint="eastAsia" w:eastAsia="方正仿宋_GBK"/>
          <w:color w:val="000000"/>
          <w:sz w:val="28"/>
        </w:rPr>
        <w:t>万元、邮电费</w:t>
      </w:r>
      <w:r>
        <w:rPr>
          <w:rFonts w:hint="eastAsia" w:eastAsia="方正仿宋_GBK"/>
          <w:color w:val="000000"/>
          <w:sz w:val="28"/>
          <w:lang w:val="en-US" w:eastAsia="zh-CN"/>
        </w:rPr>
        <w:t>0.36</w:t>
      </w:r>
      <w:r>
        <w:rPr>
          <w:rFonts w:hint="eastAsia" w:eastAsia="方正仿宋_GBK"/>
          <w:color w:val="000000"/>
          <w:sz w:val="28"/>
        </w:rPr>
        <w:t>万元、</w:t>
      </w:r>
      <w:r>
        <w:rPr>
          <w:rFonts w:hint="eastAsia" w:eastAsia="方正仿宋_GBK"/>
          <w:color w:val="000000"/>
          <w:sz w:val="28"/>
          <w:lang w:eastAsia="zh-CN"/>
        </w:rPr>
        <w:t>取暖费</w:t>
      </w:r>
      <w:r>
        <w:rPr>
          <w:rFonts w:hint="eastAsia" w:eastAsia="方正仿宋_GBK"/>
          <w:color w:val="000000"/>
          <w:sz w:val="28"/>
          <w:lang w:val="en-US" w:eastAsia="zh-CN"/>
        </w:rPr>
        <w:t>5万元、差旅费1.5万元、公务接待费1万元、劳务费7.99万元、</w:t>
      </w:r>
      <w:r>
        <w:rPr>
          <w:rFonts w:hint="eastAsia" w:eastAsia="方正仿宋_GBK"/>
          <w:color w:val="000000"/>
          <w:sz w:val="28"/>
        </w:rPr>
        <w:t>工会经费</w:t>
      </w:r>
      <w:r>
        <w:rPr>
          <w:rFonts w:hint="eastAsia" w:eastAsia="方正仿宋_GBK"/>
          <w:color w:val="000000"/>
          <w:sz w:val="28"/>
          <w:lang w:val="en-US" w:eastAsia="zh-CN"/>
        </w:rPr>
        <w:t>3.45</w:t>
      </w:r>
      <w:r>
        <w:rPr>
          <w:rFonts w:hint="eastAsia" w:eastAsia="方正仿宋_GBK"/>
          <w:color w:val="000000"/>
          <w:sz w:val="28"/>
        </w:rPr>
        <w:t>万元、在职人员及退休人员福利费</w:t>
      </w:r>
      <w:r>
        <w:rPr>
          <w:rFonts w:hint="eastAsia" w:eastAsia="方正仿宋_GBK"/>
          <w:color w:val="000000"/>
          <w:sz w:val="28"/>
          <w:lang w:val="en-US" w:eastAsia="zh-CN"/>
        </w:rPr>
        <w:t>6.34</w:t>
      </w:r>
      <w:r>
        <w:rPr>
          <w:rFonts w:hint="eastAsia" w:eastAsia="方正仿宋_GBK"/>
          <w:color w:val="000000"/>
          <w:sz w:val="28"/>
        </w:rPr>
        <w:t>万元</w:t>
      </w:r>
      <w:r>
        <w:rPr>
          <w:rFonts w:hint="eastAsia" w:eastAsia="方正仿宋_GBK"/>
          <w:color w:val="000000"/>
          <w:sz w:val="28"/>
          <w:lang w:eastAsia="zh-CN"/>
        </w:rPr>
        <w:t>、公务车运行维护费</w:t>
      </w:r>
      <w:r>
        <w:rPr>
          <w:rFonts w:hint="eastAsia" w:eastAsia="方正仿宋_GBK"/>
          <w:color w:val="000000"/>
          <w:sz w:val="28"/>
          <w:lang w:val="en-US" w:eastAsia="zh-CN"/>
        </w:rPr>
        <w:t>3.5万元、公务交通补贴15.9万元、退休人员</w:t>
      </w:r>
      <w:r>
        <w:rPr>
          <w:rFonts w:hint="eastAsia" w:eastAsia="方正仿宋_GBK"/>
          <w:color w:val="000000"/>
          <w:sz w:val="28"/>
          <w:lang w:eastAsia="zh-CN"/>
        </w:rPr>
        <w:t>公用经费</w:t>
      </w:r>
      <w:r>
        <w:rPr>
          <w:rFonts w:hint="eastAsia" w:eastAsia="方正仿宋_GBK"/>
          <w:color w:val="000000"/>
          <w:sz w:val="28"/>
          <w:lang w:val="en-US" w:eastAsia="zh-CN"/>
        </w:rPr>
        <w:t>0.96万元</w:t>
      </w:r>
      <w:r>
        <w:rPr>
          <w:rFonts w:hint="eastAsia" w:eastAsia="方正仿宋_GBK"/>
          <w:color w:val="000000"/>
          <w:sz w:val="28"/>
        </w:rPr>
        <w:t>。</w:t>
      </w:r>
    </w:p>
    <w:p>
      <w:pPr>
        <w:numPr>
          <w:ilvl w:val="0"/>
          <w:numId w:val="1"/>
        </w:numPr>
        <w:spacing w:before="10" w:after="10"/>
        <w:ind w:firstLine="640" w:firstLineChars="200"/>
        <w:outlineLvl w:val="5"/>
        <w:rPr>
          <w:rFonts w:hint="eastAsia" w:ascii="黑体" w:hAnsi="黑体" w:eastAsia="黑体" w:cs="黑体"/>
          <w:color w:val="000000"/>
          <w:sz w:val="32"/>
        </w:rPr>
      </w:pPr>
      <w:r>
        <w:rPr>
          <w:rFonts w:hint="eastAsia" w:ascii="黑体" w:hAnsi="黑体" w:eastAsia="黑体" w:cs="黑体"/>
          <w:color w:val="000000"/>
          <w:sz w:val="32"/>
        </w:rPr>
        <w:t>财政拨款“三公”经费预算情况及增减变化原因</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2022年涞水县胡家庄乡人民政府本级安排“三公经费”预算4.5万元，与2021年相比增加1.5万元。其中，公务用车运行维护费3.5万元，与2021年相比预算增加1.5万元，因机构改革单位增加了综合行政执法职能，执法队人员每天24小时巡逻盗采、违建、防火等，公务车运行维护费增加；公务接待费1万元（20批次，200人），与2021年持平；因公出国经费无；公务用车购置经费无。</w:t>
      </w:r>
    </w:p>
    <w:p>
      <w:pPr>
        <w:numPr>
          <w:ilvl w:val="0"/>
          <w:numId w:val="0"/>
        </w:numPr>
        <w:spacing w:before="10" w:after="10"/>
        <w:outlineLvl w:val="5"/>
        <w:rPr>
          <w:rFonts w:hint="eastAsia" w:ascii="黑体" w:hAnsi="黑体" w:eastAsia="黑体" w:cs="黑体"/>
          <w:color w:val="000000"/>
          <w:sz w:val="32"/>
        </w:rPr>
      </w:pPr>
    </w:p>
    <w:p>
      <w:pPr>
        <w:numPr>
          <w:ilvl w:val="0"/>
          <w:numId w:val="0"/>
        </w:numPr>
        <w:spacing w:before="10" w:after="10"/>
        <w:outlineLvl w:val="5"/>
        <w:rPr>
          <w:rFonts w:hint="eastAsia" w:ascii="黑体" w:hAnsi="黑体" w:eastAsia="黑体" w:cs="黑体"/>
          <w:color w:val="000000"/>
          <w:sz w:val="32"/>
        </w:rPr>
      </w:pPr>
    </w:p>
    <w:p>
      <w:pPr>
        <w:numPr>
          <w:ilvl w:val="0"/>
          <w:numId w:val="0"/>
        </w:numPr>
        <w:spacing w:before="10" w:after="10"/>
        <w:outlineLvl w:val="5"/>
        <w:rPr>
          <w:rFonts w:hint="eastAsia" w:ascii="黑体" w:hAnsi="黑体" w:eastAsia="黑体" w:cs="黑体"/>
          <w:color w:val="000000"/>
          <w:sz w:val="32"/>
        </w:rPr>
      </w:pPr>
    </w:p>
    <w:p>
      <w:pPr>
        <w:numPr>
          <w:ilvl w:val="0"/>
          <w:numId w:val="0"/>
        </w:numPr>
        <w:spacing w:before="10" w:after="10"/>
        <w:outlineLvl w:val="5"/>
        <w:rPr>
          <w:rFonts w:hint="eastAsia" w:ascii="黑体" w:hAnsi="黑体" w:eastAsia="黑体" w:cs="黑体"/>
          <w:color w:val="000000"/>
          <w:sz w:val="32"/>
        </w:rPr>
      </w:pPr>
    </w:p>
    <w:tbl>
      <w:tblPr>
        <w:tblStyle w:val="9"/>
        <w:tblW w:w="0" w:type="auto"/>
        <w:tblInd w:w="840" w:type="dxa"/>
        <w:tblLayout w:type="fixed"/>
        <w:tblCellMar>
          <w:top w:w="0" w:type="dxa"/>
          <w:left w:w="108" w:type="dxa"/>
          <w:bottom w:w="0" w:type="dxa"/>
          <w:right w:w="108" w:type="dxa"/>
        </w:tblCellMar>
      </w:tblPr>
      <w:tblGrid>
        <w:gridCol w:w="2575"/>
        <w:gridCol w:w="1717"/>
        <w:gridCol w:w="1717"/>
        <w:gridCol w:w="1177"/>
        <w:gridCol w:w="6629"/>
      </w:tblGrid>
      <w:tr>
        <w:tblPrEx>
          <w:tblCellMar>
            <w:top w:w="0" w:type="dxa"/>
            <w:left w:w="108" w:type="dxa"/>
            <w:bottom w:w="0" w:type="dxa"/>
            <w:right w:w="108" w:type="dxa"/>
          </w:tblCellMar>
        </w:tblPrEx>
        <w:trPr>
          <w:trHeight w:val="221" w:hRule="atLeast"/>
        </w:trPr>
        <w:tc>
          <w:tcPr>
            <w:tcW w:w="2575"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177" w:type="dxa"/>
            <w:tcBorders>
              <w:top w:val="nil"/>
              <w:left w:val="nil"/>
              <w:bottom w:val="nil"/>
              <w:right w:val="nil"/>
            </w:tcBorders>
            <w:vAlign w:val="center"/>
          </w:tcPr>
          <w:p>
            <w:pPr>
              <w:rPr>
                <w:rFonts w:ascii="宋体" w:hAnsi="宋体" w:cs="宋体"/>
              </w:rPr>
            </w:pPr>
          </w:p>
        </w:tc>
        <w:tc>
          <w:tcPr>
            <w:tcW w:w="6629"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316" w:hRule="atLeast"/>
        </w:trPr>
        <w:tc>
          <w:tcPr>
            <w:tcW w:w="25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662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575"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6629"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575"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6629"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2575"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2</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3.5</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1.5</w:t>
            </w:r>
          </w:p>
        </w:tc>
        <w:tc>
          <w:tcPr>
            <w:tcW w:w="6629"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因机构改革单位增加了综合行政执法职能，执法队人员每天24小时巡逻盗采、违建、防火等，公务车运行维护费增加。</w:t>
            </w:r>
          </w:p>
        </w:tc>
      </w:tr>
      <w:tr>
        <w:tblPrEx>
          <w:tblCellMar>
            <w:top w:w="0" w:type="dxa"/>
            <w:left w:w="108" w:type="dxa"/>
            <w:bottom w:w="0" w:type="dxa"/>
            <w:right w:w="108" w:type="dxa"/>
          </w:tblCellMar>
        </w:tblPrEx>
        <w:trPr>
          <w:trHeight w:val="480" w:hRule="atLeast"/>
        </w:trPr>
        <w:tc>
          <w:tcPr>
            <w:tcW w:w="2575"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1</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1</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6629"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65" w:hRule="atLeast"/>
        </w:trPr>
        <w:tc>
          <w:tcPr>
            <w:tcW w:w="2575"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3</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4.5</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1.5</w:t>
            </w:r>
          </w:p>
        </w:tc>
        <w:tc>
          <w:tcPr>
            <w:tcW w:w="6629"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因机构改革单位增加了综合行政执法职能，执法队人员每天24小时巡逻盗采、违建、防火等，公务车运行维护费增加。</w:t>
            </w:r>
          </w:p>
        </w:tc>
      </w:tr>
    </w:tbl>
    <w:p>
      <w:pPr>
        <w:spacing w:before="10" w:after="10"/>
        <w:ind w:firstLine="320" w:firstLineChars="100"/>
        <w:outlineLvl w:val="5"/>
        <w:rPr>
          <w:rFonts w:hint="eastAsia" w:ascii="黑体" w:hAnsi="黑体" w:eastAsia="黑体" w:cs="黑体"/>
          <w:color w:val="000000"/>
          <w:sz w:val="32"/>
        </w:rPr>
      </w:pPr>
    </w:p>
    <w:p>
      <w:pPr>
        <w:spacing w:before="10" w:after="10"/>
        <w:ind w:firstLine="320" w:firstLineChars="100"/>
        <w:outlineLvl w:val="5"/>
        <w:rPr>
          <w:rFonts w:hint="eastAsia" w:ascii="黑体" w:hAnsi="黑体" w:eastAsia="黑体" w:cs="黑体"/>
          <w:color w:val="000000"/>
          <w:sz w:val="32"/>
        </w:rPr>
      </w:pPr>
    </w:p>
    <w:p>
      <w:pPr>
        <w:spacing w:before="10" w:after="10"/>
        <w:ind w:firstLine="320" w:firstLineChars="100"/>
        <w:outlineLvl w:val="5"/>
        <w:rPr>
          <w:rFonts w:hint="eastAsia" w:ascii="黑体" w:hAnsi="黑体" w:eastAsia="黑体" w:cs="黑体"/>
          <w:color w:val="000000"/>
          <w:sz w:val="32"/>
        </w:rPr>
      </w:pPr>
    </w:p>
    <w:p>
      <w:pPr>
        <w:spacing w:before="10" w:after="10"/>
        <w:ind w:firstLine="320" w:firstLineChars="100"/>
        <w:outlineLvl w:val="5"/>
        <w:rPr>
          <w:rFonts w:hint="eastAsia" w:ascii="黑体" w:hAnsi="黑体" w:eastAsia="黑体" w:cs="黑体"/>
          <w:color w:val="000000"/>
          <w:sz w:val="32"/>
        </w:rPr>
      </w:pPr>
    </w:p>
    <w:p>
      <w:pPr>
        <w:spacing w:before="10" w:after="10"/>
        <w:ind w:firstLine="320" w:firstLineChars="100"/>
        <w:outlineLvl w:val="5"/>
        <w:rPr>
          <w:rFonts w:hint="eastAsia" w:ascii="黑体" w:hAnsi="黑体" w:eastAsia="黑体" w:cs="黑体"/>
          <w:color w:val="000000"/>
          <w:sz w:val="32"/>
        </w:rPr>
      </w:pPr>
    </w:p>
    <w:p>
      <w:pPr>
        <w:spacing w:before="10" w:after="10"/>
        <w:ind w:firstLine="320" w:firstLineChars="100"/>
        <w:outlineLvl w:val="5"/>
        <w:rPr>
          <w:rFonts w:hint="eastAsia" w:ascii="黑体" w:hAnsi="黑体" w:eastAsia="黑体" w:cs="黑体"/>
          <w:color w:val="000000"/>
          <w:sz w:val="32"/>
        </w:rPr>
      </w:pPr>
    </w:p>
    <w:p>
      <w:pPr>
        <w:spacing w:before="10" w:after="10"/>
        <w:ind w:firstLine="320" w:firstLineChars="100"/>
        <w:outlineLvl w:val="5"/>
        <w:rPr>
          <w:rFonts w:hint="eastAsia" w:ascii="黑体" w:hAnsi="黑体" w:eastAsia="黑体" w:cs="黑体"/>
          <w:color w:val="000000"/>
          <w:sz w:val="32"/>
        </w:rPr>
      </w:pPr>
    </w:p>
    <w:p>
      <w:pPr>
        <w:spacing w:before="10" w:after="10"/>
        <w:ind w:firstLine="320" w:firstLineChars="100"/>
        <w:outlineLvl w:val="5"/>
        <w:rPr>
          <w:rFonts w:hint="eastAsia" w:ascii="黑体" w:hAnsi="黑体" w:eastAsia="黑体" w:cs="黑体"/>
          <w:color w:val="000000"/>
          <w:sz w:val="32"/>
        </w:rPr>
      </w:pPr>
    </w:p>
    <w:p>
      <w:pPr>
        <w:spacing w:before="10" w:after="10"/>
        <w:ind w:firstLine="320" w:firstLineChars="100"/>
        <w:outlineLvl w:val="5"/>
        <w:rPr>
          <w:rFonts w:hint="eastAsia" w:ascii="黑体" w:hAnsi="黑体" w:eastAsia="黑体" w:cs="黑体"/>
          <w:color w:val="000000"/>
          <w:sz w:val="32"/>
        </w:rPr>
      </w:pPr>
    </w:p>
    <w:p>
      <w:pPr>
        <w:spacing w:before="10" w:after="10"/>
        <w:ind w:firstLine="320" w:firstLineChars="100"/>
        <w:outlineLvl w:val="5"/>
        <w:rPr>
          <w:rFonts w:hint="eastAsia" w:ascii="黑体" w:hAnsi="黑体" w:eastAsia="黑体" w:cs="黑体"/>
          <w:color w:val="000000"/>
          <w:sz w:val="32"/>
        </w:rPr>
      </w:pPr>
    </w:p>
    <w:p>
      <w:pPr>
        <w:spacing w:before="10" w:after="10"/>
        <w:ind w:firstLine="320" w:firstLineChars="100"/>
        <w:outlineLvl w:val="5"/>
        <w:rPr>
          <w:rFonts w:hint="eastAsia" w:ascii="黑体" w:hAnsi="黑体" w:eastAsia="黑体" w:cs="黑体"/>
          <w:color w:val="000000"/>
          <w:sz w:val="32"/>
        </w:rPr>
      </w:pPr>
    </w:p>
    <w:p>
      <w:pPr>
        <w:spacing w:before="10" w:after="10"/>
        <w:ind w:firstLine="320" w:firstLineChars="100"/>
        <w:outlineLvl w:val="5"/>
        <w:rPr>
          <w:rFonts w:hint="eastAsia" w:ascii="黑体" w:hAnsi="黑体" w:eastAsia="黑体" w:cs="黑体"/>
          <w:color w:val="000000"/>
          <w:sz w:val="32"/>
        </w:rPr>
      </w:pPr>
    </w:p>
    <w:p>
      <w:pPr>
        <w:spacing w:before="10" w:after="10"/>
        <w:ind w:firstLine="320" w:firstLineChars="100"/>
        <w:outlineLvl w:val="5"/>
        <w:sectPr>
          <w:type w:val="continuous"/>
          <w:pgSz w:w="16840" w:h="11900" w:orient="landscape"/>
          <w:pgMar w:top="1361" w:right="1021" w:bottom="1361" w:left="1021" w:header="720" w:footer="720" w:gutter="0"/>
          <w:cols w:space="720" w:num="1"/>
        </w:sectPr>
      </w:pPr>
      <w:r>
        <w:rPr>
          <w:rFonts w:hint="eastAsia" w:ascii="黑体" w:hAnsi="黑体" w:eastAsia="黑体" w:cs="黑体"/>
          <w:color w:val="000000"/>
          <w:sz w:val="32"/>
        </w:rPr>
        <w:t>五、预算绩效信息</w:t>
      </w:r>
    </w:p>
    <w:p>
      <w:pPr>
        <w:ind w:firstLine="281" w:firstLineChars="100"/>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财政事务工作经费（年初）绩效目标表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3495"/>
        <w:gridCol w:w="1067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3495" w:type="dxa"/>
            <w:tcBorders>
              <w:bottom w:val="single" w:color="FFFFFF" w:sz="6" w:space="0"/>
            </w:tcBorders>
            <w:vAlign w:val="center"/>
          </w:tcPr>
          <w:p>
            <w:pPr>
              <w:pStyle w:val="16"/>
            </w:pPr>
            <w:r>
              <w:t>绩效目标</w:t>
            </w:r>
          </w:p>
        </w:tc>
        <w:tc>
          <w:tcPr>
            <w:tcW w:w="10678" w:type="dxa"/>
            <w:tcBorders>
              <w:bottom w:val="single" w:color="FFFFFF" w:sz="6" w:space="0"/>
            </w:tcBorders>
            <w:vAlign w:val="center"/>
          </w:tcPr>
          <w:p>
            <w:pPr>
              <w:pStyle w:val="18"/>
            </w:pPr>
            <w:r>
              <w:t>1.完成各项上级财政拨款，落实到位，保障惠民政策落实到位，做好财政国库支付电子化工作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36"/>
        <w:gridCol w:w="3311"/>
        <w:gridCol w:w="1332"/>
        <w:gridCol w:w="3320"/>
        <w:gridCol w:w="847"/>
        <w:gridCol w:w="1843"/>
      </w:tblGrid>
      <w:tr>
        <w:tblPrEx>
          <w:tblCellMar>
            <w:top w:w="0" w:type="dxa"/>
            <w:left w:w="108" w:type="dxa"/>
            <w:bottom w:w="0" w:type="dxa"/>
            <w:right w:w="108" w:type="dxa"/>
          </w:tblCellMar>
        </w:tblPrEx>
        <w:trPr>
          <w:trHeight w:val="397" w:hRule="atLeast"/>
          <w:tblHeader/>
          <w:jc w:val="center"/>
        </w:trPr>
        <w:tc>
          <w:tcPr>
            <w:tcW w:w="3536" w:type="dxa"/>
            <w:noWrap w:val="0"/>
            <w:vAlign w:val="center"/>
          </w:tcPr>
          <w:p>
            <w:pPr>
              <w:pStyle w:val="16"/>
            </w:pPr>
            <w:r>
              <w:t>一级指标</w:t>
            </w:r>
          </w:p>
        </w:tc>
        <w:tc>
          <w:tcPr>
            <w:tcW w:w="3311" w:type="dxa"/>
            <w:noWrap w:val="0"/>
            <w:vAlign w:val="center"/>
          </w:tcPr>
          <w:p>
            <w:pPr>
              <w:pStyle w:val="16"/>
            </w:pPr>
            <w:r>
              <w:t>二级指标</w:t>
            </w:r>
          </w:p>
        </w:tc>
        <w:tc>
          <w:tcPr>
            <w:tcW w:w="1332" w:type="dxa"/>
            <w:noWrap w:val="0"/>
            <w:vAlign w:val="center"/>
          </w:tcPr>
          <w:p>
            <w:pPr>
              <w:pStyle w:val="16"/>
            </w:pPr>
            <w:r>
              <w:t>三级指标</w:t>
            </w:r>
          </w:p>
        </w:tc>
        <w:tc>
          <w:tcPr>
            <w:tcW w:w="3320" w:type="dxa"/>
            <w:noWrap w:val="0"/>
            <w:vAlign w:val="center"/>
          </w:tcPr>
          <w:p>
            <w:pPr>
              <w:pStyle w:val="16"/>
            </w:pPr>
            <w:r>
              <w:t>绩效指标描述</w:t>
            </w:r>
          </w:p>
        </w:tc>
        <w:tc>
          <w:tcPr>
            <w:tcW w:w="847" w:type="dxa"/>
            <w:noWrap w:val="0"/>
            <w:vAlign w:val="center"/>
          </w:tcPr>
          <w:p>
            <w:pPr>
              <w:pStyle w:val="16"/>
            </w:pPr>
            <w:r>
              <w:t>指标值</w:t>
            </w:r>
          </w:p>
        </w:tc>
        <w:tc>
          <w:tcPr>
            <w:tcW w:w="184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vMerge w:val="restart"/>
            <w:noWrap w:val="0"/>
            <w:vAlign w:val="center"/>
          </w:tcPr>
          <w:p>
            <w:pPr>
              <w:pStyle w:val="19"/>
            </w:pPr>
            <w:r>
              <w:t>产出指标</w:t>
            </w:r>
          </w:p>
        </w:tc>
        <w:tc>
          <w:tcPr>
            <w:tcW w:w="3311" w:type="dxa"/>
            <w:noWrap w:val="0"/>
            <w:vAlign w:val="center"/>
          </w:tcPr>
          <w:p>
            <w:pPr>
              <w:pStyle w:val="18"/>
            </w:pPr>
            <w:r>
              <w:t>数量指标</w:t>
            </w:r>
          </w:p>
        </w:tc>
        <w:tc>
          <w:tcPr>
            <w:tcW w:w="1332" w:type="dxa"/>
            <w:noWrap w:val="0"/>
            <w:vAlign w:val="center"/>
          </w:tcPr>
          <w:p>
            <w:pPr>
              <w:pStyle w:val="18"/>
            </w:pPr>
            <w:r>
              <w:t>工作开展完成率（%）</w:t>
            </w:r>
          </w:p>
        </w:tc>
        <w:tc>
          <w:tcPr>
            <w:tcW w:w="3320" w:type="dxa"/>
            <w:noWrap w:val="0"/>
            <w:vAlign w:val="center"/>
          </w:tcPr>
          <w:p>
            <w:pPr>
              <w:pStyle w:val="18"/>
            </w:pPr>
            <w:r>
              <w:t>工作实际开展占计划工作的比率</w:t>
            </w:r>
          </w:p>
        </w:tc>
        <w:tc>
          <w:tcPr>
            <w:tcW w:w="847" w:type="dxa"/>
            <w:noWrap w:val="0"/>
            <w:vAlign w:val="center"/>
          </w:tcPr>
          <w:p>
            <w:pPr>
              <w:pStyle w:val="18"/>
            </w:pPr>
            <w:r>
              <w:t>≥90百分比</w:t>
            </w:r>
          </w:p>
        </w:tc>
        <w:tc>
          <w:tcPr>
            <w:tcW w:w="1843"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vMerge w:val="continue"/>
            <w:noWrap w:val="0"/>
            <w:vAlign w:val="center"/>
          </w:tcPr>
          <w:p/>
        </w:tc>
        <w:tc>
          <w:tcPr>
            <w:tcW w:w="3311" w:type="dxa"/>
            <w:noWrap w:val="0"/>
            <w:vAlign w:val="center"/>
          </w:tcPr>
          <w:p>
            <w:pPr>
              <w:pStyle w:val="18"/>
            </w:pPr>
            <w:r>
              <w:t>质量指标</w:t>
            </w:r>
          </w:p>
        </w:tc>
        <w:tc>
          <w:tcPr>
            <w:tcW w:w="1332" w:type="dxa"/>
            <w:noWrap w:val="0"/>
            <w:vAlign w:val="center"/>
          </w:tcPr>
          <w:p>
            <w:pPr>
              <w:pStyle w:val="18"/>
            </w:pPr>
            <w:r>
              <w:t>资金有效使用率(%)</w:t>
            </w:r>
          </w:p>
        </w:tc>
        <w:tc>
          <w:tcPr>
            <w:tcW w:w="3320" w:type="dxa"/>
            <w:noWrap w:val="0"/>
            <w:vAlign w:val="center"/>
          </w:tcPr>
          <w:p>
            <w:pPr>
              <w:pStyle w:val="18"/>
            </w:pPr>
            <w:r>
              <w:t>资金实际使用金额占拨付金额的比率</w:t>
            </w:r>
          </w:p>
        </w:tc>
        <w:tc>
          <w:tcPr>
            <w:tcW w:w="847" w:type="dxa"/>
            <w:noWrap w:val="0"/>
            <w:vAlign w:val="center"/>
          </w:tcPr>
          <w:p>
            <w:pPr>
              <w:pStyle w:val="18"/>
            </w:pPr>
            <w:r>
              <w:t>≥90百分比</w:t>
            </w:r>
          </w:p>
        </w:tc>
        <w:tc>
          <w:tcPr>
            <w:tcW w:w="1843"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vMerge w:val="continue"/>
            <w:noWrap w:val="0"/>
            <w:vAlign w:val="center"/>
          </w:tcPr>
          <w:p/>
        </w:tc>
        <w:tc>
          <w:tcPr>
            <w:tcW w:w="3311" w:type="dxa"/>
            <w:noWrap w:val="0"/>
            <w:vAlign w:val="center"/>
          </w:tcPr>
          <w:p>
            <w:pPr>
              <w:pStyle w:val="18"/>
            </w:pPr>
            <w:r>
              <w:t>时效指标</w:t>
            </w:r>
          </w:p>
        </w:tc>
        <w:tc>
          <w:tcPr>
            <w:tcW w:w="1332" w:type="dxa"/>
            <w:noWrap w:val="0"/>
            <w:vAlign w:val="center"/>
          </w:tcPr>
          <w:p>
            <w:pPr>
              <w:pStyle w:val="18"/>
            </w:pPr>
            <w:r>
              <w:t>年度项目完成情况</w:t>
            </w:r>
          </w:p>
        </w:tc>
        <w:tc>
          <w:tcPr>
            <w:tcW w:w="3320" w:type="dxa"/>
            <w:noWrap w:val="0"/>
            <w:vAlign w:val="center"/>
          </w:tcPr>
          <w:p>
            <w:pPr>
              <w:pStyle w:val="18"/>
            </w:pPr>
            <w:r>
              <w:t>年度项目按规定时间点完成</w:t>
            </w:r>
          </w:p>
        </w:tc>
        <w:tc>
          <w:tcPr>
            <w:tcW w:w="847" w:type="dxa"/>
            <w:noWrap w:val="0"/>
            <w:vAlign w:val="center"/>
          </w:tcPr>
          <w:p>
            <w:pPr>
              <w:pStyle w:val="18"/>
            </w:pPr>
            <w:r>
              <w:t>≥90百分比</w:t>
            </w:r>
          </w:p>
        </w:tc>
        <w:tc>
          <w:tcPr>
            <w:tcW w:w="1843"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vMerge w:val="continue"/>
            <w:noWrap w:val="0"/>
            <w:vAlign w:val="center"/>
          </w:tcPr>
          <w:p/>
        </w:tc>
        <w:tc>
          <w:tcPr>
            <w:tcW w:w="3311" w:type="dxa"/>
            <w:noWrap w:val="0"/>
            <w:vAlign w:val="center"/>
          </w:tcPr>
          <w:p>
            <w:pPr>
              <w:pStyle w:val="18"/>
            </w:pPr>
            <w:r>
              <w:t>成本指标</w:t>
            </w:r>
          </w:p>
        </w:tc>
        <w:tc>
          <w:tcPr>
            <w:tcW w:w="1332" w:type="dxa"/>
            <w:noWrap w:val="0"/>
            <w:vAlign w:val="center"/>
          </w:tcPr>
          <w:p>
            <w:pPr>
              <w:pStyle w:val="18"/>
            </w:pPr>
            <w:r>
              <w:t>经费控制数</w:t>
            </w:r>
          </w:p>
        </w:tc>
        <w:tc>
          <w:tcPr>
            <w:tcW w:w="3320" w:type="dxa"/>
            <w:noWrap w:val="0"/>
            <w:vAlign w:val="center"/>
          </w:tcPr>
          <w:p>
            <w:pPr>
              <w:pStyle w:val="18"/>
            </w:pPr>
            <w:r>
              <w:t>经费控制数</w:t>
            </w:r>
          </w:p>
        </w:tc>
        <w:tc>
          <w:tcPr>
            <w:tcW w:w="847" w:type="dxa"/>
            <w:noWrap w:val="0"/>
            <w:vAlign w:val="center"/>
          </w:tcPr>
          <w:p>
            <w:pPr>
              <w:pStyle w:val="18"/>
            </w:pPr>
            <w:r>
              <w:t>≤1万元</w:t>
            </w:r>
          </w:p>
        </w:tc>
        <w:tc>
          <w:tcPr>
            <w:tcW w:w="1843"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noWrap w:val="0"/>
            <w:vAlign w:val="center"/>
          </w:tcPr>
          <w:p>
            <w:pPr>
              <w:pStyle w:val="19"/>
            </w:pPr>
            <w:r>
              <w:t>效益指标</w:t>
            </w:r>
          </w:p>
        </w:tc>
        <w:tc>
          <w:tcPr>
            <w:tcW w:w="3311" w:type="dxa"/>
            <w:noWrap w:val="0"/>
            <w:vAlign w:val="center"/>
          </w:tcPr>
          <w:p>
            <w:pPr>
              <w:pStyle w:val="18"/>
            </w:pPr>
            <w:r>
              <w:t>社会效益指标</w:t>
            </w:r>
          </w:p>
        </w:tc>
        <w:tc>
          <w:tcPr>
            <w:tcW w:w="1332" w:type="dxa"/>
            <w:noWrap w:val="0"/>
            <w:vAlign w:val="center"/>
          </w:tcPr>
          <w:p>
            <w:pPr>
              <w:pStyle w:val="18"/>
            </w:pPr>
            <w:r>
              <w:t>保障人员办公</w:t>
            </w:r>
          </w:p>
        </w:tc>
        <w:tc>
          <w:tcPr>
            <w:tcW w:w="3320" w:type="dxa"/>
            <w:noWrap w:val="0"/>
            <w:vAlign w:val="center"/>
          </w:tcPr>
          <w:p>
            <w:pPr>
              <w:pStyle w:val="18"/>
            </w:pPr>
            <w:r>
              <w:t>能够保障人员日常工作效率。</w:t>
            </w:r>
          </w:p>
        </w:tc>
        <w:tc>
          <w:tcPr>
            <w:tcW w:w="847" w:type="dxa"/>
            <w:noWrap w:val="0"/>
            <w:vAlign w:val="center"/>
          </w:tcPr>
          <w:p>
            <w:pPr>
              <w:pStyle w:val="18"/>
            </w:pPr>
            <w:r>
              <w:t>≥90百分比</w:t>
            </w:r>
          </w:p>
        </w:tc>
        <w:tc>
          <w:tcPr>
            <w:tcW w:w="1843"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noWrap w:val="0"/>
            <w:vAlign w:val="center"/>
          </w:tcPr>
          <w:p>
            <w:pPr>
              <w:pStyle w:val="19"/>
            </w:pPr>
            <w:r>
              <w:t>满意度指标</w:t>
            </w:r>
          </w:p>
        </w:tc>
        <w:tc>
          <w:tcPr>
            <w:tcW w:w="3311" w:type="dxa"/>
            <w:noWrap w:val="0"/>
            <w:vAlign w:val="center"/>
          </w:tcPr>
          <w:p>
            <w:pPr>
              <w:pStyle w:val="18"/>
            </w:pPr>
            <w:r>
              <w:t>服务对象满意度指标</w:t>
            </w:r>
          </w:p>
        </w:tc>
        <w:tc>
          <w:tcPr>
            <w:tcW w:w="1332" w:type="dxa"/>
            <w:noWrap w:val="0"/>
            <w:vAlign w:val="center"/>
          </w:tcPr>
          <w:p>
            <w:pPr>
              <w:pStyle w:val="18"/>
            </w:pPr>
            <w:r>
              <w:t>服务对象满意度</w:t>
            </w:r>
          </w:p>
        </w:tc>
        <w:tc>
          <w:tcPr>
            <w:tcW w:w="3320" w:type="dxa"/>
            <w:noWrap w:val="0"/>
            <w:vAlign w:val="center"/>
          </w:tcPr>
          <w:p>
            <w:pPr>
              <w:pStyle w:val="18"/>
            </w:pPr>
            <w:r>
              <w:t>服务对象满意度</w:t>
            </w:r>
          </w:p>
        </w:tc>
        <w:tc>
          <w:tcPr>
            <w:tcW w:w="847" w:type="dxa"/>
            <w:noWrap w:val="0"/>
            <w:vAlign w:val="center"/>
          </w:tcPr>
          <w:p>
            <w:pPr>
              <w:pStyle w:val="18"/>
            </w:pPr>
            <w:r>
              <w:t>≥90百分比</w:t>
            </w:r>
          </w:p>
        </w:tc>
        <w:tc>
          <w:tcPr>
            <w:tcW w:w="1843" w:type="dxa"/>
            <w:noWrap w:val="0"/>
            <w:vAlign w:val="center"/>
          </w:tcPr>
          <w:p>
            <w:pPr>
              <w:pStyle w:val="18"/>
            </w:pPr>
            <w:r>
              <w:t>依据工作方案</w:t>
            </w:r>
          </w:p>
        </w:tc>
      </w:tr>
    </w:tbl>
    <w:p>
      <w:pPr>
        <w:sectPr>
          <w:type w:val="continuous"/>
          <w:pgSz w:w="16840" w:h="11900" w:orient="landscape"/>
          <w:pgMar w:top="1361" w:right="1020" w:bottom="1134" w:left="1020" w:header="720" w:footer="720" w:gutter="0"/>
          <w:cols w:space="720" w:num="1"/>
        </w:sectPr>
      </w:pPr>
    </w:p>
    <w:p>
      <w:pPr>
        <w:ind w:firstLine="281" w:firstLineChars="10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纪检经费（年初）绩效目标表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18"/>
        <w:gridCol w:w="1309"/>
        <w:gridCol w:w="1432"/>
        <w:gridCol w:w="3791"/>
        <w:gridCol w:w="1445"/>
        <w:gridCol w:w="377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18" w:type="dxa"/>
            <w:tcBorders>
              <w:bottom w:val="single" w:color="FFFFFF" w:sz="6" w:space="0"/>
            </w:tcBorders>
            <w:vAlign w:val="center"/>
          </w:tcPr>
          <w:p>
            <w:pPr>
              <w:pStyle w:val="16"/>
            </w:pPr>
            <w:r>
              <w:t>绩效目标</w:t>
            </w:r>
          </w:p>
        </w:tc>
        <w:tc>
          <w:tcPr>
            <w:tcW w:w="11755" w:type="dxa"/>
            <w:gridSpan w:val="5"/>
            <w:tcBorders>
              <w:bottom w:val="single" w:color="FFFFFF" w:sz="6" w:space="0"/>
            </w:tcBorders>
            <w:vAlign w:val="center"/>
          </w:tcPr>
          <w:p>
            <w:pPr>
              <w:pStyle w:val="18"/>
            </w:pPr>
            <w:r>
              <w:rPr>
                <w:rFonts w:hint="eastAsia"/>
              </w:rPr>
              <w:t>1.认真落实纪检部门各项任务，加强监督检查，促进党风廉政。发挥乡纪检监督职能，做到有案必查，有腐必惩，深化廉政教育学习。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18" w:type="dxa"/>
            <w:noWrap w:val="0"/>
            <w:vAlign w:val="center"/>
          </w:tcPr>
          <w:p>
            <w:pPr>
              <w:pStyle w:val="16"/>
            </w:pPr>
            <w:r>
              <w:t>一级指标</w:t>
            </w:r>
          </w:p>
        </w:tc>
        <w:tc>
          <w:tcPr>
            <w:tcW w:w="1309" w:type="dxa"/>
            <w:noWrap w:val="0"/>
            <w:vAlign w:val="center"/>
          </w:tcPr>
          <w:p>
            <w:pPr>
              <w:pStyle w:val="16"/>
            </w:pPr>
            <w:r>
              <w:t>二级指标</w:t>
            </w:r>
          </w:p>
        </w:tc>
        <w:tc>
          <w:tcPr>
            <w:tcW w:w="1432" w:type="dxa"/>
            <w:noWrap w:val="0"/>
            <w:vAlign w:val="center"/>
          </w:tcPr>
          <w:p>
            <w:pPr>
              <w:pStyle w:val="16"/>
            </w:pPr>
            <w:r>
              <w:t>三级指标</w:t>
            </w:r>
          </w:p>
        </w:tc>
        <w:tc>
          <w:tcPr>
            <w:tcW w:w="3791" w:type="dxa"/>
            <w:noWrap w:val="0"/>
            <w:vAlign w:val="center"/>
          </w:tcPr>
          <w:p>
            <w:pPr>
              <w:pStyle w:val="16"/>
            </w:pPr>
            <w:r>
              <w:t>绩效指标描述</w:t>
            </w:r>
          </w:p>
        </w:tc>
        <w:tc>
          <w:tcPr>
            <w:tcW w:w="1445" w:type="dxa"/>
            <w:noWrap w:val="0"/>
            <w:vAlign w:val="center"/>
          </w:tcPr>
          <w:p>
            <w:pPr>
              <w:pStyle w:val="16"/>
            </w:pPr>
            <w:r>
              <w:t>指标值</w:t>
            </w:r>
          </w:p>
        </w:tc>
        <w:tc>
          <w:tcPr>
            <w:tcW w:w="3778"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vMerge w:val="restart"/>
            <w:noWrap w:val="0"/>
            <w:vAlign w:val="center"/>
          </w:tcPr>
          <w:p>
            <w:pPr>
              <w:pStyle w:val="19"/>
            </w:pPr>
            <w:r>
              <w:t>产出指标</w:t>
            </w:r>
          </w:p>
        </w:tc>
        <w:tc>
          <w:tcPr>
            <w:tcW w:w="1309" w:type="dxa"/>
            <w:noWrap w:val="0"/>
            <w:vAlign w:val="center"/>
          </w:tcPr>
          <w:p>
            <w:pPr>
              <w:pStyle w:val="18"/>
            </w:pPr>
            <w:r>
              <w:t>数量指标</w:t>
            </w:r>
          </w:p>
        </w:tc>
        <w:tc>
          <w:tcPr>
            <w:tcW w:w="1432" w:type="dxa"/>
            <w:noWrap w:val="0"/>
            <w:vAlign w:val="center"/>
          </w:tcPr>
          <w:p>
            <w:pPr>
              <w:pStyle w:val="18"/>
            </w:pPr>
            <w:r>
              <w:t>组织监督检查会议次数</w:t>
            </w:r>
          </w:p>
        </w:tc>
        <w:tc>
          <w:tcPr>
            <w:tcW w:w="3791" w:type="dxa"/>
            <w:noWrap w:val="0"/>
            <w:vAlign w:val="center"/>
          </w:tcPr>
          <w:p>
            <w:pPr>
              <w:pStyle w:val="18"/>
            </w:pPr>
            <w:r>
              <w:t>组织召开监督检查会议的次数</w:t>
            </w:r>
          </w:p>
        </w:tc>
        <w:tc>
          <w:tcPr>
            <w:tcW w:w="1445" w:type="dxa"/>
            <w:noWrap w:val="0"/>
            <w:vAlign w:val="center"/>
          </w:tcPr>
          <w:p>
            <w:pPr>
              <w:pStyle w:val="18"/>
            </w:pPr>
            <w:r>
              <w:t>≥5次</w:t>
            </w:r>
          </w:p>
        </w:tc>
        <w:tc>
          <w:tcPr>
            <w:tcW w:w="3778"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vMerge w:val="continue"/>
            <w:noWrap w:val="0"/>
            <w:vAlign w:val="center"/>
          </w:tcPr>
          <w:p/>
        </w:tc>
        <w:tc>
          <w:tcPr>
            <w:tcW w:w="1309" w:type="dxa"/>
            <w:noWrap w:val="0"/>
            <w:vAlign w:val="center"/>
          </w:tcPr>
          <w:p>
            <w:pPr>
              <w:pStyle w:val="18"/>
            </w:pPr>
            <w:r>
              <w:t>质量指标</w:t>
            </w:r>
          </w:p>
        </w:tc>
        <w:tc>
          <w:tcPr>
            <w:tcW w:w="1432" w:type="dxa"/>
            <w:noWrap w:val="0"/>
            <w:vAlign w:val="center"/>
          </w:tcPr>
          <w:p>
            <w:pPr>
              <w:pStyle w:val="18"/>
            </w:pPr>
            <w:r>
              <w:t>案件办结率</w:t>
            </w:r>
          </w:p>
        </w:tc>
        <w:tc>
          <w:tcPr>
            <w:tcW w:w="3791" w:type="dxa"/>
            <w:noWrap w:val="0"/>
            <w:vAlign w:val="center"/>
          </w:tcPr>
          <w:p>
            <w:pPr>
              <w:pStyle w:val="18"/>
            </w:pPr>
            <w:r>
              <w:t>办结案件数量占立案案件总数的比率</w:t>
            </w:r>
          </w:p>
        </w:tc>
        <w:tc>
          <w:tcPr>
            <w:tcW w:w="1445" w:type="dxa"/>
            <w:noWrap w:val="0"/>
            <w:vAlign w:val="center"/>
          </w:tcPr>
          <w:p>
            <w:pPr>
              <w:pStyle w:val="18"/>
            </w:pPr>
            <w:r>
              <w:t>≥90百分比</w:t>
            </w:r>
          </w:p>
        </w:tc>
        <w:tc>
          <w:tcPr>
            <w:tcW w:w="3778"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vMerge w:val="continue"/>
            <w:noWrap w:val="0"/>
            <w:vAlign w:val="center"/>
          </w:tcPr>
          <w:p/>
        </w:tc>
        <w:tc>
          <w:tcPr>
            <w:tcW w:w="1309" w:type="dxa"/>
            <w:noWrap w:val="0"/>
            <w:vAlign w:val="center"/>
          </w:tcPr>
          <w:p>
            <w:pPr>
              <w:pStyle w:val="18"/>
            </w:pPr>
            <w:r>
              <w:t>时效指标</w:t>
            </w:r>
          </w:p>
        </w:tc>
        <w:tc>
          <w:tcPr>
            <w:tcW w:w="1432" w:type="dxa"/>
            <w:noWrap w:val="0"/>
            <w:vAlign w:val="center"/>
          </w:tcPr>
          <w:p>
            <w:pPr>
              <w:pStyle w:val="18"/>
            </w:pPr>
            <w:r>
              <w:t>年度项目完成情况</w:t>
            </w:r>
          </w:p>
        </w:tc>
        <w:tc>
          <w:tcPr>
            <w:tcW w:w="3791" w:type="dxa"/>
            <w:noWrap w:val="0"/>
            <w:vAlign w:val="center"/>
          </w:tcPr>
          <w:p>
            <w:pPr>
              <w:pStyle w:val="18"/>
            </w:pPr>
            <w:r>
              <w:t>年度项目按规定时间点完成</w:t>
            </w:r>
          </w:p>
        </w:tc>
        <w:tc>
          <w:tcPr>
            <w:tcW w:w="1445" w:type="dxa"/>
            <w:noWrap w:val="0"/>
            <w:vAlign w:val="center"/>
          </w:tcPr>
          <w:p>
            <w:pPr>
              <w:pStyle w:val="18"/>
            </w:pPr>
            <w:r>
              <w:t>≥90百分比</w:t>
            </w:r>
          </w:p>
        </w:tc>
        <w:tc>
          <w:tcPr>
            <w:tcW w:w="3778"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vMerge w:val="continue"/>
            <w:noWrap w:val="0"/>
            <w:vAlign w:val="center"/>
          </w:tcPr>
          <w:p/>
        </w:tc>
        <w:tc>
          <w:tcPr>
            <w:tcW w:w="1309" w:type="dxa"/>
            <w:noWrap w:val="0"/>
            <w:vAlign w:val="center"/>
          </w:tcPr>
          <w:p>
            <w:pPr>
              <w:pStyle w:val="18"/>
            </w:pPr>
            <w:r>
              <w:t>成本指标</w:t>
            </w:r>
          </w:p>
        </w:tc>
        <w:tc>
          <w:tcPr>
            <w:tcW w:w="1432" w:type="dxa"/>
            <w:noWrap w:val="0"/>
            <w:vAlign w:val="center"/>
          </w:tcPr>
          <w:p>
            <w:pPr>
              <w:pStyle w:val="18"/>
            </w:pPr>
            <w:r>
              <w:t>经费控制数</w:t>
            </w:r>
          </w:p>
        </w:tc>
        <w:tc>
          <w:tcPr>
            <w:tcW w:w="3791" w:type="dxa"/>
            <w:noWrap w:val="0"/>
            <w:vAlign w:val="center"/>
          </w:tcPr>
          <w:p>
            <w:pPr>
              <w:pStyle w:val="18"/>
            </w:pPr>
            <w:r>
              <w:t>经费控制数</w:t>
            </w:r>
          </w:p>
        </w:tc>
        <w:tc>
          <w:tcPr>
            <w:tcW w:w="1445" w:type="dxa"/>
            <w:noWrap w:val="0"/>
            <w:vAlign w:val="center"/>
          </w:tcPr>
          <w:p>
            <w:pPr>
              <w:pStyle w:val="18"/>
            </w:pPr>
            <w:r>
              <w:t>≤1万元</w:t>
            </w:r>
          </w:p>
        </w:tc>
        <w:tc>
          <w:tcPr>
            <w:tcW w:w="3778"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noWrap w:val="0"/>
            <w:vAlign w:val="center"/>
          </w:tcPr>
          <w:p>
            <w:pPr>
              <w:pStyle w:val="19"/>
            </w:pPr>
            <w:r>
              <w:t>效益指标</w:t>
            </w:r>
          </w:p>
        </w:tc>
        <w:tc>
          <w:tcPr>
            <w:tcW w:w="1309" w:type="dxa"/>
            <w:noWrap w:val="0"/>
            <w:vAlign w:val="center"/>
          </w:tcPr>
          <w:p>
            <w:pPr>
              <w:pStyle w:val="18"/>
            </w:pPr>
            <w:r>
              <w:t>社会效益指标</w:t>
            </w:r>
          </w:p>
        </w:tc>
        <w:tc>
          <w:tcPr>
            <w:tcW w:w="1432" w:type="dxa"/>
            <w:noWrap w:val="0"/>
            <w:vAlign w:val="center"/>
          </w:tcPr>
          <w:p>
            <w:pPr>
              <w:pStyle w:val="18"/>
            </w:pPr>
            <w:r>
              <w:t>社会会影响力</w:t>
            </w:r>
          </w:p>
        </w:tc>
        <w:tc>
          <w:tcPr>
            <w:tcW w:w="3791" w:type="dxa"/>
            <w:noWrap w:val="0"/>
            <w:vAlign w:val="center"/>
          </w:tcPr>
          <w:p>
            <w:pPr>
              <w:pStyle w:val="18"/>
            </w:pPr>
            <w:r>
              <w:t>在本地区产生的重要影响，得到广大受众的充分认可</w:t>
            </w:r>
          </w:p>
        </w:tc>
        <w:tc>
          <w:tcPr>
            <w:tcW w:w="1445" w:type="dxa"/>
            <w:noWrap w:val="0"/>
            <w:vAlign w:val="center"/>
          </w:tcPr>
          <w:p>
            <w:pPr>
              <w:pStyle w:val="18"/>
            </w:pPr>
            <w:r>
              <w:t>≥90百分比</w:t>
            </w:r>
          </w:p>
        </w:tc>
        <w:tc>
          <w:tcPr>
            <w:tcW w:w="3778"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noWrap w:val="0"/>
            <w:vAlign w:val="center"/>
          </w:tcPr>
          <w:p>
            <w:pPr>
              <w:pStyle w:val="19"/>
            </w:pPr>
            <w:r>
              <w:t>满意度指标</w:t>
            </w:r>
          </w:p>
        </w:tc>
        <w:tc>
          <w:tcPr>
            <w:tcW w:w="1309" w:type="dxa"/>
            <w:noWrap w:val="0"/>
            <w:vAlign w:val="center"/>
          </w:tcPr>
          <w:p>
            <w:pPr>
              <w:pStyle w:val="18"/>
            </w:pPr>
            <w:r>
              <w:t>服务对象满意度指标</w:t>
            </w:r>
          </w:p>
        </w:tc>
        <w:tc>
          <w:tcPr>
            <w:tcW w:w="1432" w:type="dxa"/>
            <w:noWrap w:val="0"/>
            <w:vAlign w:val="center"/>
          </w:tcPr>
          <w:p>
            <w:pPr>
              <w:pStyle w:val="18"/>
            </w:pPr>
            <w:r>
              <w:t>群众满意度</w:t>
            </w:r>
          </w:p>
        </w:tc>
        <w:tc>
          <w:tcPr>
            <w:tcW w:w="3791" w:type="dxa"/>
            <w:noWrap w:val="0"/>
            <w:vAlign w:val="center"/>
          </w:tcPr>
          <w:p>
            <w:pPr>
              <w:pStyle w:val="18"/>
            </w:pPr>
            <w:r>
              <w:t>群众对当年纪检监督工作的整体满意度</w:t>
            </w:r>
          </w:p>
        </w:tc>
        <w:tc>
          <w:tcPr>
            <w:tcW w:w="1445" w:type="dxa"/>
            <w:noWrap w:val="0"/>
            <w:vAlign w:val="center"/>
          </w:tcPr>
          <w:p>
            <w:pPr>
              <w:pStyle w:val="18"/>
            </w:pPr>
            <w:r>
              <w:t>≥90百分比</w:t>
            </w:r>
          </w:p>
        </w:tc>
        <w:tc>
          <w:tcPr>
            <w:tcW w:w="3778" w:type="dxa"/>
            <w:noWrap w:val="0"/>
            <w:vAlign w:val="center"/>
          </w:tcPr>
          <w:p>
            <w:pPr>
              <w:pStyle w:val="18"/>
            </w:pPr>
            <w:r>
              <w:t>依据工作方案</w:t>
            </w:r>
          </w:p>
        </w:tc>
      </w:tr>
    </w:tbl>
    <w:p>
      <w:pPr>
        <w:spacing w:line="2" w:lineRule="exact"/>
        <w:jc w:val="center"/>
      </w:pPr>
    </w:p>
    <w:p>
      <w:pPr>
        <w:bidi w:val="0"/>
        <w:rPr>
          <w:rFonts w:ascii="Times New Roman" w:hAnsi="Times New Roman" w:eastAsia="宋体" w:cs="Times New Roman"/>
          <w:sz w:val="24"/>
          <w:szCs w:val="24"/>
          <w:lang w:val="en-US" w:eastAsia="uk-UA" w:bidi="ar-SA"/>
        </w:rPr>
      </w:pPr>
    </w:p>
    <w:p>
      <w:pPr>
        <w:bidi w:val="0"/>
        <w:rPr>
          <w:lang w:val="en-US" w:eastAsia="uk-UA"/>
        </w:rPr>
      </w:pPr>
    </w:p>
    <w:p>
      <w:pPr>
        <w:tabs>
          <w:tab w:val="left" w:pos="854"/>
        </w:tabs>
        <w:bidi w:val="0"/>
        <w:jc w:val="left"/>
        <w:rPr>
          <w:rFonts w:hint="eastAsia" w:eastAsia="宋体"/>
          <w:lang w:val="en-US" w:eastAsia="zh-CN"/>
        </w:rPr>
        <w:sectPr>
          <w:pgSz w:w="16840" w:h="11900" w:orient="landscape"/>
          <w:pgMar w:top="1361" w:right="1020" w:bottom="1134" w:left="1020" w:header="720" w:footer="720" w:gutter="0"/>
          <w:cols w:space="720" w:num="1"/>
        </w:sectPr>
      </w:pPr>
    </w:p>
    <w:p>
      <w:pPr>
        <w:ind w:firstLine="281" w:firstLineChars="10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rPr>
        <w:t>农村文化建设资金（年初）绩效目标表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135"/>
        <w:gridCol w:w="1884"/>
        <w:gridCol w:w="4091"/>
        <w:gridCol w:w="1664"/>
        <w:gridCol w:w="398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gridSpan w:val="5"/>
            <w:tcBorders>
              <w:bottom w:val="single" w:color="FFFFFF" w:sz="6" w:space="0"/>
            </w:tcBorders>
            <w:vAlign w:val="center"/>
          </w:tcPr>
          <w:p>
            <w:pPr>
              <w:pStyle w:val="18"/>
            </w:pPr>
            <w:r>
              <w:rPr>
                <w:rFonts w:hint="eastAsia"/>
              </w:rPr>
              <w:t>1.加强文化队伍和村级文化阵地建设，营造镇域文化氛围，发掘民间艺术资源以及开展群娱活动。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6"/>
            </w:pPr>
            <w:r>
              <w:t>一级指标</w:t>
            </w:r>
          </w:p>
        </w:tc>
        <w:tc>
          <w:tcPr>
            <w:tcW w:w="1135" w:type="dxa"/>
            <w:noWrap w:val="0"/>
            <w:vAlign w:val="center"/>
          </w:tcPr>
          <w:p>
            <w:pPr>
              <w:pStyle w:val="16"/>
            </w:pPr>
            <w:r>
              <w:t>二级指标</w:t>
            </w:r>
          </w:p>
        </w:tc>
        <w:tc>
          <w:tcPr>
            <w:tcW w:w="1884" w:type="dxa"/>
            <w:noWrap w:val="0"/>
            <w:vAlign w:val="center"/>
          </w:tcPr>
          <w:p>
            <w:pPr>
              <w:pStyle w:val="16"/>
            </w:pPr>
            <w:r>
              <w:t>三级指标</w:t>
            </w:r>
          </w:p>
        </w:tc>
        <w:tc>
          <w:tcPr>
            <w:tcW w:w="4091" w:type="dxa"/>
            <w:noWrap w:val="0"/>
            <w:vAlign w:val="center"/>
          </w:tcPr>
          <w:p>
            <w:pPr>
              <w:pStyle w:val="16"/>
            </w:pPr>
            <w:r>
              <w:t>绩效指标描述</w:t>
            </w:r>
          </w:p>
        </w:tc>
        <w:tc>
          <w:tcPr>
            <w:tcW w:w="1664" w:type="dxa"/>
            <w:noWrap w:val="0"/>
            <w:vAlign w:val="center"/>
          </w:tcPr>
          <w:p>
            <w:pPr>
              <w:pStyle w:val="16"/>
            </w:pPr>
            <w:r>
              <w:t>指标值</w:t>
            </w:r>
          </w:p>
        </w:tc>
        <w:tc>
          <w:tcPr>
            <w:tcW w:w="3982"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noWrap w:val="0"/>
            <w:vAlign w:val="center"/>
          </w:tcPr>
          <w:p>
            <w:pPr>
              <w:pStyle w:val="19"/>
            </w:pPr>
            <w:r>
              <w:t>产出指标</w:t>
            </w:r>
          </w:p>
        </w:tc>
        <w:tc>
          <w:tcPr>
            <w:tcW w:w="1135" w:type="dxa"/>
            <w:noWrap w:val="0"/>
            <w:vAlign w:val="center"/>
          </w:tcPr>
          <w:p>
            <w:pPr>
              <w:pStyle w:val="18"/>
            </w:pPr>
            <w:r>
              <w:t>数量指标</w:t>
            </w:r>
          </w:p>
        </w:tc>
        <w:tc>
          <w:tcPr>
            <w:tcW w:w="1884" w:type="dxa"/>
            <w:noWrap w:val="0"/>
            <w:vAlign w:val="center"/>
          </w:tcPr>
          <w:p>
            <w:pPr>
              <w:pStyle w:val="18"/>
            </w:pPr>
            <w:r>
              <w:t>公共文化服务活动数量</w:t>
            </w:r>
          </w:p>
        </w:tc>
        <w:tc>
          <w:tcPr>
            <w:tcW w:w="4091" w:type="dxa"/>
            <w:noWrap w:val="0"/>
            <w:vAlign w:val="center"/>
          </w:tcPr>
          <w:p>
            <w:pPr>
              <w:pStyle w:val="18"/>
            </w:pPr>
            <w:r>
              <w:t>各类公共文化服务活动组织开展的数量</w:t>
            </w:r>
          </w:p>
        </w:tc>
        <w:tc>
          <w:tcPr>
            <w:tcW w:w="1664" w:type="dxa"/>
            <w:noWrap w:val="0"/>
            <w:vAlign w:val="center"/>
          </w:tcPr>
          <w:p>
            <w:pPr>
              <w:pStyle w:val="18"/>
            </w:pPr>
            <w:r>
              <w:t>≥10次</w:t>
            </w:r>
          </w:p>
        </w:tc>
        <w:tc>
          <w:tcPr>
            <w:tcW w:w="3982"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noWrap w:val="0"/>
            <w:vAlign w:val="center"/>
          </w:tcPr>
          <w:p/>
        </w:tc>
        <w:tc>
          <w:tcPr>
            <w:tcW w:w="1135" w:type="dxa"/>
            <w:noWrap w:val="0"/>
            <w:vAlign w:val="center"/>
          </w:tcPr>
          <w:p>
            <w:pPr>
              <w:pStyle w:val="18"/>
            </w:pPr>
            <w:r>
              <w:t>质量指标</w:t>
            </w:r>
          </w:p>
        </w:tc>
        <w:tc>
          <w:tcPr>
            <w:tcW w:w="1884" w:type="dxa"/>
            <w:noWrap w:val="0"/>
            <w:vAlign w:val="center"/>
          </w:tcPr>
          <w:p>
            <w:pPr>
              <w:pStyle w:val="18"/>
            </w:pPr>
            <w:r>
              <w:t>文化设施达标率</w:t>
            </w:r>
          </w:p>
        </w:tc>
        <w:tc>
          <w:tcPr>
            <w:tcW w:w="4091" w:type="dxa"/>
            <w:noWrap w:val="0"/>
            <w:vAlign w:val="center"/>
          </w:tcPr>
          <w:p>
            <w:pPr>
              <w:pStyle w:val="18"/>
            </w:pPr>
            <w:r>
              <w:t>省内实际文化设施达标数量占文化设施总数的比率</w:t>
            </w:r>
          </w:p>
        </w:tc>
        <w:tc>
          <w:tcPr>
            <w:tcW w:w="1664" w:type="dxa"/>
            <w:noWrap w:val="0"/>
            <w:vAlign w:val="center"/>
          </w:tcPr>
          <w:p>
            <w:pPr>
              <w:pStyle w:val="18"/>
            </w:pPr>
            <w:r>
              <w:t>≥90百分比</w:t>
            </w:r>
          </w:p>
        </w:tc>
        <w:tc>
          <w:tcPr>
            <w:tcW w:w="3982"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noWrap w:val="0"/>
            <w:vAlign w:val="center"/>
          </w:tcPr>
          <w:p/>
        </w:tc>
        <w:tc>
          <w:tcPr>
            <w:tcW w:w="1135" w:type="dxa"/>
            <w:noWrap w:val="0"/>
            <w:vAlign w:val="center"/>
          </w:tcPr>
          <w:p>
            <w:pPr>
              <w:pStyle w:val="18"/>
            </w:pPr>
            <w:r>
              <w:t>时效指标</w:t>
            </w:r>
          </w:p>
        </w:tc>
        <w:tc>
          <w:tcPr>
            <w:tcW w:w="1884" w:type="dxa"/>
            <w:noWrap w:val="0"/>
            <w:vAlign w:val="center"/>
          </w:tcPr>
          <w:p>
            <w:pPr>
              <w:pStyle w:val="18"/>
            </w:pPr>
            <w:r>
              <w:t>年度项目完成情况</w:t>
            </w:r>
          </w:p>
        </w:tc>
        <w:tc>
          <w:tcPr>
            <w:tcW w:w="4091" w:type="dxa"/>
            <w:noWrap w:val="0"/>
            <w:vAlign w:val="center"/>
          </w:tcPr>
          <w:p>
            <w:pPr>
              <w:pStyle w:val="18"/>
            </w:pPr>
            <w:r>
              <w:t>年度项目按规定时间点完成</w:t>
            </w:r>
          </w:p>
        </w:tc>
        <w:tc>
          <w:tcPr>
            <w:tcW w:w="1664" w:type="dxa"/>
            <w:noWrap w:val="0"/>
            <w:vAlign w:val="center"/>
          </w:tcPr>
          <w:p>
            <w:pPr>
              <w:pStyle w:val="18"/>
            </w:pPr>
            <w:r>
              <w:t>≥90百分比</w:t>
            </w:r>
          </w:p>
        </w:tc>
        <w:tc>
          <w:tcPr>
            <w:tcW w:w="3982"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noWrap w:val="0"/>
            <w:vAlign w:val="center"/>
          </w:tcPr>
          <w:p/>
        </w:tc>
        <w:tc>
          <w:tcPr>
            <w:tcW w:w="1135" w:type="dxa"/>
            <w:noWrap w:val="0"/>
            <w:vAlign w:val="center"/>
          </w:tcPr>
          <w:p>
            <w:pPr>
              <w:pStyle w:val="18"/>
            </w:pPr>
            <w:r>
              <w:t>成本指标</w:t>
            </w:r>
          </w:p>
        </w:tc>
        <w:tc>
          <w:tcPr>
            <w:tcW w:w="1884" w:type="dxa"/>
            <w:noWrap w:val="0"/>
            <w:vAlign w:val="center"/>
          </w:tcPr>
          <w:p>
            <w:pPr>
              <w:pStyle w:val="18"/>
            </w:pPr>
            <w:r>
              <w:t>经费控制数</w:t>
            </w:r>
          </w:p>
        </w:tc>
        <w:tc>
          <w:tcPr>
            <w:tcW w:w="4091" w:type="dxa"/>
            <w:noWrap w:val="0"/>
            <w:vAlign w:val="center"/>
          </w:tcPr>
          <w:p>
            <w:pPr>
              <w:pStyle w:val="18"/>
            </w:pPr>
            <w:r>
              <w:t>经费控制数</w:t>
            </w:r>
          </w:p>
        </w:tc>
        <w:tc>
          <w:tcPr>
            <w:tcW w:w="1664" w:type="dxa"/>
            <w:noWrap w:val="0"/>
            <w:vAlign w:val="center"/>
          </w:tcPr>
          <w:p>
            <w:pPr>
              <w:pStyle w:val="18"/>
            </w:pPr>
            <w:r>
              <w:t>≤1.75万元</w:t>
            </w:r>
          </w:p>
        </w:tc>
        <w:tc>
          <w:tcPr>
            <w:tcW w:w="3982"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0"/>
            <w:vAlign w:val="center"/>
          </w:tcPr>
          <w:p>
            <w:pPr>
              <w:pStyle w:val="19"/>
            </w:pPr>
            <w:r>
              <w:t>效益指标</w:t>
            </w:r>
          </w:p>
        </w:tc>
        <w:tc>
          <w:tcPr>
            <w:tcW w:w="1135" w:type="dxa"/>
            <w:noWrap w:val="0"/>
            <w:vAlign w:val="center"/>
          </w:tcPr>
          <w:p>
            <w:pPr>
              <w:pStyle w:val="18"/>
            </w:pPr>
            <w:r>
              <w:t>社会效益指标</w:t>
            </w:r>
          </w:p>
        </w:tc>
        <w:tc>
          <w:tcPr>
            <w:tcW w:w="1884" w:type="dxa"/>
            <w:noWrap w:val="0"/>
            <w:vAlign w:val="center"/>
          </w:tcPr>
          <w:p>
            <w:pPr>
              <w:pStyle w:val="18"/>
            </w:pPr>
            <w:r>
              <w:t>对宣传文化事业发展促进推动作用</w:t>
            </w:r>
          </w:p>
        </w:tc>
        <w:tc>
          <w:tcPr>
            <w:tcW w:w="4091" w:type="dxa"/>
            <w:noWrap w:val="0"/>
            <w:vAlign w:val="center"/>
          </w:tcPr>
          <w:p>
            <w:pPr>
              <w:pStyle w:val="18"/>
            </w:pPr>
            <w:r>
              <w:t>通过支持重点宣传文化项目建设，带动全省宣传文化事业发展的效果</w:t>
            </w:r>
          </w:p>
        </w:tc>
        <w:tc>
          <w:tcPr>
            <w:tcW w:w="1664" w:type="dxa"/>
            <w:noWrap w:val="0"/>
            <w:vAlign w:val="center"/>
          </w:tcPr>
          <w:p>
            <w:pPr>
              <w:pStyle w:val="18"/>
            </w:pPr>
            <w:r>
              <w:t>≥90百分比</w:t>
            </w:r>
          </w:p>
        </w:tc>
        <w:tc>
          <w:tcPr>
            <w:tcW w:w="3982"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0"/>
            <w:vAlign w:val="center"/>
          </w:tcPr>
          <w:p>
            <w:pPr>
              <w:pStyle w:val="19"/>
            </w:pPr>
            <w:r>
              <w:t>满意度指标</w:t>
            </w:r>
          </w:p>
        </w:tc>
        <w:tc>
          <w:tcPr>
            <w:tcW w:w="1135" w:type="dxa"/>
            <w:noWrap w:val="0"/>
            <w:vAlign w:val="center"/>
          </w:tcPr>
          <w:p>
            <w:pPr>
              <w:pStyle w:val="18"/>
            </w:pPr>
            <w:r>
              <w:t>服务对象满意度指标</w:t>
            </w:r>
          </w:p>
        </w:tc>
        <w:tc>
          <w:tcPr>
            <w:tcW w:w="1884" w:type="dxa"/>
            <w:noWrap w:val="0"/>
            <w:vAlign w:val="center"/>
          </w:tcPr>
          <w:p>
            <w:pPr>
              <w:pStyle w:val="18"/>
            </w:pPr>
            <w:r>
              <w:t>群众满意度</w:t>
            </w:r>
          </w:p>
        </w:tc>
        <w:tc>
          <w:tcPr>
            <w:tcW w:w="4091" w:type="dxa"/>
            <w:noWrap w:val="0"/>
            <w:vAlign w:val="center"/>
          </w:tcPr>
          <w:p>
            <w:pPr>
              <w:pStyle w:val="18"/>
            </w:pPr>
            <w:r>
              <w:t>接受乡镇政府服务的人群对乡镇政府所提供服务的满意程度</w:t>
            </w:r>
          </w:p>
        </w:tc>
        <w:tc>
          <w:tcPr>
            <w:tcW w:w="1664" w:type="dxa"/>
            <w:noWrap w:val="0"/>
            <w:vAlign w:val="center"/>
          </w:tcPr>
          <w:p>
            <w:pPr>
              <w:pStyle w:val="18"/>
            </w:pPr>
            <w:r>
              <w:t>≥90百分比</w:t>
            </w:r>
          </w:p>
        </w:tc>
        <w:tc>
          <w:tcPr>
            <w:tcW w:w="3982" w:type="dxa"/>
            <w:noWrap w:val="0"/>
            <w:vAlign w:val="center"/>
          </w:tcPr>
          <w:p>
            <w:pPr>
              <w:pStyle w:val="18"/>
            </w:pPr>
            <w:r>
              <w:t>依据工作方案</w:t>
            </w:r>
          </w:p>
        </w:tc>
      </w:tr>
    </w:tbl>
    <w:p>
      <w:pPr>
        <w:spacing w:line="2" w:lineRule="exact"/>
        <w:jc w:val="center"/>
      </w:pPr>
      <w:r>
        <w:rPr>
          <w:rFonts w:ascii="方正书宋_GBK" w:hAnsi="方正书宋_GBK" w:eastAsia="方正书宋_GBK" w:cs="方正书宋_GBK"/>
          <w:color w:val="000000"/>
          <w:sz w:val="18"/>
        </w:rPr>
        <w:t xml:space="preserve"> </w:t>
      </w:r>
    </w:p>
    <w:p>
      <w:pPr>
        <w:sectPr>
          <w:pgSz w:w="16840" w:h="11900" w:orient="landscape"/>
          <w:pgMar w:top="1361" w:right="1020" w:bottom="1134" w:left="1020" w:header="720" w:footer="720" w:gutter="0"/>
          <w:cols w:space="720" w:num="1"/>
        </w:sectPr>
      </w:pPr>
    </w:p>
    <w:p>
      <w:pPr>
        <w:ind w:firstLine="281" w:firstLineChars="10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rPr>
        <w:t>人大主席团活动经费（年初）绩效目标表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276"/>
        <w:gridCol w:w="141"/>
        <w:gridCol w:w="1135"/>
        <w:gridCol w:w="2239"/>
        <w:gridCol w:w="4227"/>
        <w:gridCol w:w="1991"/>
        <w:gridCol w:w="3164"/>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gridSpan w:val="2"/>
            <w:tcBorders>
              <w:bottom w:val="single" w:color="FFFFFF" w:sz="6" w:space="0"/>
            </w:tcBorders>
            <w:vAlign w:val="center"/>
          </w:tcPr>
          <w:p>
            <w:pPr>
              <w:pStyle w:val="16"/>
            </w:pPr>
            <w:r>
              <w:t>绩效目标</w:t>
            </w:r>
          </w:p>
        </w:tc>
        <w:tc>
          <w:tcPr>
            <w:tcW w:w="12756" w:type="dxa"/>
            <w:gridSpan w:val="5"/>
            <w:tcBorders>
              <w:bottom w:val="single" w:color="FFFFFF" w:sz="6" w:space="0"/>
            </w:tcBorders>
            <w:vAlign w:val="center"/>
          </w:tcPr>
          <w:p>
            <w:pPr>
              <w:pStyle w:val="18"/>
            </w:pPr>
            <w:r>
              <w:rPr>
                <w:rFonts w:hint="eastAsia"/>
              </w:rPr>
              <w:t>1.落实中央2015（18）号文件精神和省委市委落实中央18号文件的意见，切实加强基层人大建设，保障乡人大主席团的正常运转。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1276" w:type="dxa"/>
            <w:gridSpan w:val="2"/>
            <w:noWrap w:val="0"/>
            <w:vAlign w:val="center"/>
          </w:tcPr>
          <w:p>
            <w:pPr>
              <w:pStyle w:val="16"/>
            </w:pPr>
            <w:r>
              <w:t>二级指标</w:t>
            </w:r>
          </w:p>
        </w:tc>
        <w:tc>
          <w:tcPr>
            <w:tcW w:w="2239" w:type="dxa"/>
            <w:noWrap w:val="0"/>
            <w:vAlign w:val="center"/>
          </w:tcPr>
          <w:p>
            <w:pPr>
              <w:pStyle w:val="16"/>
            </w:pPr>
            <w:r>
              <w:t>三级指标</w:t>
            </w:r>
          </w:p>
        </w:tc>
        <w:tc>
          <w:tcPr>
            <w:tcW w:w="4227" w:type="dxa"/>
            <w:noWrap w:val="0"/>
            <w:vAlign w:val="center"/>
          </w:tcPr>
          <w:p>
            <w:pPr>
              <w:pStyle w:val="16"/>
            </w:pPr>
            <w:r>
              <w:t>绩效指标描述</w:t>
            </w:r>
          </w:p>
        </w:tc>
        <w:tc>
          <w:tcPr>
            <w:tcW w:w="1991" w:type="dxa"/>
            <w:noWrap w:val="0"/>
            <w:vAlign w:val="center"/>
          </w:tcPr>
          <w:p>
            <w:pPr>
              <w:pStyle w:val="16"/>
            </w:pPr>
            <w:r>
              <w:t>指标值</w:t>
            </w:r>
          </w:p>
        </w:tc>
        <w:tc>
          <w:tcPr>
            <w:tcW w:w="3164"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9"/>
            </w:pPr>
            <w:r>
              <w:t>产出指标</w:t>
            </w:r>
          </w:p>
        </w:tc>
        <w:tc>
          <w:tcPr>
            <w:tcW w:w="1276" w:type="dxa"/>
            <w:gridSpan w:val="2"/>
            <w:noWrap w:val="0"/>
            <w:vAlign w:val="center"/>
          </w:tcPr>
          <w:p>
            <w:pPr>
              <w:pStyle w:val="18"/>
            </w:pPr>
            <w:r>
              <w:t>数量指标</w:t>
            </w:r>
          </w:p>
        </w:tc>
        <w:tc>
          <w:tcPr>
            <w:tcW w:w="2239" w:type="dxa"/>
            <w:noWrap w:val="0"/>
            <w:vAlign w:val="center"/>
          </w:tcPr>
          <w:p>
            <w:pPr>
              <w:pStyle w:val="18"/>
            </w:pPr>
            <w:r>
              <w:t>参与政府决策活动次数</w:t>
            </w:r>
          </w:p>
        </w:tc>
        <w:tc>
          <w:tcPr>
            <w:tcW w:w="4227" w:type="dxa"/>
            <w:noWrap w:val="0"/>
            <w:vAlign w:val="center"/>
          </w:tcPr>
          <w:p>
            <w:pPr>
              <w:pStyle w:val="18"/>
            </w:pPr>
            <w:r>
              <w:t>参与决策咨询活动次数</w:t>
            </w:r>
          </w:p>
        </w:tc>
        <w:tc>
          <w:tcPr>
            <w:tcW w:w="1991" w:type="dxa"/>
            <w:noWrap w:val="0"/>
            <w:vAlign w:val="center"/>
          </w:tcPr>
          <w:p>
            <w:pPr>
              <w:pStyle w:val="18"/>
            </w:pPr>
            <w:r>
              <w:t>≥5次</w:t>
            </w:r>
          </w:p>
        </w:tc>
        <w:tc>
          <w:tcPr>
            <w:tcW w:w="3164"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gridSpan w:val="2"/>
            <w:noWrap w:val="0"/>
            <w:vAlign w:val="center"/>
          </w:tcPr>
          <w:p>
            <w:pPr>
              <w:pStyle w:val="18"/>
            </w:pPr>
            <w:r>
              <w:t>质量指标</w:t>
            </w:r>
          </w:p>
        </w:tc>
        <w:tc>
          <w:tcPr>
            <w:tcW w:w="2239" w:type="dxa"/>
            <w:noWrap w:val="0"/>
            <w:vAlign w:val="center"/>
          </w:tcPr>
          <w:p>
            <w:pPr>
              <w:pStyle w:val="18"/>
            </w:pPr>
            <w:r>
              <w:t>工作经费使用率</w:t>
            </w:r>
          </w:p>
        </w:tc>
        <w:tc>
          <w:tcPr>
            <w:tcW w:w="4227" w:type="dxa"/>
            <w:noWrap w:val="0"/>
            <w:vAlign w:val="center"/>
          </w:tcPr>
          <w:p>
            <w:pPr>
              <w:pStyle w:val="18"/>
            </w:pPr>
            <w:r>
              <w:t>经费使用占拨付经费的比率</w:t>
            </w:r>
          </w:p>
        </w:tc>
        <w:tc>
          <w:tcPr>
            <w:tcW w:w="1991" w:type="dxa"/>
            <w:noWrap w:val="0"/>
            <w:vAlign w:val="center"/>
          </w:tcPr>
          <w:p>
            <w:pPr>
              <w:pStyle w:val="18"/>
            </w:pPr>
            <w:r>
              <w:t>≥85百分比</w:t>
            </w:r>
          </w:p>
        </w:tc>
        <w:tc>
          <w:tcPr>
            <w:tcW w:w="3164"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gridSpan w:val="2"/>
            <w:noWrap w:val="0"/>
            <w:vAlign w:val="center"/>
          </w:tcPr>
          <w:p>
            <w:pPr>
              <w:pStyle w:val="18"/>
            </w:pPr>
            <w:r>
              <w:t>时效指标</w:t>
            </w:r>
          </w:p>
        </w:tc>
        <w:tc>
          <w:tcPr>
            <w:tcW w:w="2239" w:type="dxa"/>
            <w:noWrap w:val="0"/>
            <w:vAlign w:val="center"/>
          </w:tcPr>
          <w:p>
            <w:pPr>
              <w:pStyle w:val="18"/>
            </w:pPr>
            <w:r>
              <w:t>年度项目完成情况</w:t>
            </w:r>
          </w:p>
        </w:tc>
        <w:tc>
          <w:tcPr>
            <w:tcW w:w="4227" w:type="dxa"/>
            <w:noWrap w:val="0"/>
            <w:vAlign w:val="center"/>
          </w:tcPr>
          <w:p>
            <w:pPr>
              <w:pStyle w:val="18"/>
            </w:pPr>
            <w:r>
              <w:t>年度项目按规定时间点完成</w:t>
            </w:r>
          </w:p>
        </w:tc>
        <w:tc>
          <w:tcPr>
            <w:tcW w:w="1991" w:type="dxa"/>
            <w:noWrap w:val="0"/>
            <w:vAlign w:val="center"/>
          </w:tcPr>
          <w:p>
            <w:pPr>
              <w:pStyle w:val="18"/>
            </w:pPr>
            <w:r>
              <w:t>≥90百分比</w:t>
            </w:r>
          </w:p>
        </w:tc>
        <w:tc>
          <w:tcPr>
            <w:tcW w:w="3164"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gridSpan w:val="2"/>
            <w:noWrap w:val="0"/>
            <w:vAlign w:val="center"/>
          </w:tcPr>
          <w:p>
            <w:pPr>
              <w:pStyle w:val="18"/>
            </w:pPr>
            <w:r>
              <w:t>成本指标</w:t>
            </w:r>
          </w:p>
        </w:tc>
        <w:tc>
          <w:tcPr>
            <w:tcW w:w="2239" w:type="dxa"/>
            <w:noWrap w:val="0"/>
            <w:vAlign w:val="center"/>
          </w:tcPr>
          <w:p>
            <w:pPr>
              <w:pStyle w:val="18"/>
            </w:pPr>
            <w:r>
              <w:t>经费控制数</w:t>
            </w:r>
          </w:p>
        </w:tc>
        <w:tc>
          <w:tcPr>
            <w:tcW w:w="4227" w:type="dxa"/>
            <w:noWrap w:val="0"/>
            <w:vAlign w:val="center"/>
          </w:tcPr>
          <w:p>
            <w:pPr>
              <w:pStyle w:val="18"/>
            </w:pPr>
            <w:r>
              <w:t>经费控制数</w:t>
            </w:r>
          </w:p>
        </w:tc>
        <w:tc>
          <w:tcPr>
            <w:tcW w:w="1991" w:type="dxa"/>
            <w:noWrap w:val="0"/>
            <w:vAlign w:val="center"/>
          </w:tcPr>
          <w:p>
            <w:pPr>
              <w:pStyle w:val="18"/>
            </w:pPr>
            <w:r>
              <w:t>≤3万元</w:t>
            </w:r>
          </w:p>
        </w:tc>
        <w:tc>
          <w:tcPr>
            <w:tcW w:w="3164"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效益指标</w:t>
            </w:r>
          </w:p>
        </w:tc>
        <w:tc>
          <w:tcPr>
            <w:tcW w:w="1276" w:type="dxa"/>
            <w:gridSpan w:val="2"/>
            <w:noWrap w:val="0"/>
            <w:vAlign w:val="center"/>
          </w:tcPr>
          <w:p>
            <w:pPr>
              <w:pStyle w:val="18"/>
            </w:pPr>
            <w:r>
              <w:t>社会效益指标</w:t>
            </w:r>
          </w:p>
        </w:tc>
        <w:tc>
          <w:tcPr>
            <w:tcW w:w="2239" w:type="dxa"/>
            <w:noWrap w:val="0"/>
            <w:vAlign w:val="center"/>
          </w:tcPr>
          <w:p>
            <w:pPr>
              <w:pStyle w:val="18"/>
            </w:pPr>
            <w:r>
              <w:t>社会影响力</w:t>
            </w:r>
          </w:p>
        </w:tc>
        <w:tc>
          <w:tcPr>
            <w:tcW w:w="4227" w:type="dxa"/>
            <w:noWrap w:val="0"/>
            <w:vAlign w:val="center"/>
          </w:tcPr>
          <w:p>
            <w:pPr>
              <w:pStyle w:val="18"/>
            </w:pPr>
            <w:r>
              <w:t>在本地区产生的重要影响，得到广大受众的充分认可。</w:t>
            </w:r>
          </w:p>
        </w:tc>
        <w:tc>
          <w:tcPr>
            <w:tcW w:w="1991" w:type="dxa"/>
            <w:noWrap w:val="0"/>
            <w:vAlign w:val="center"/>
          </w:tcPr>
          <w:p>
            <w:pPr>
              <w:pStyle w:val="18"/>
            </w:pPr>
            <w:r>
              <w:t>≥85百分比</w:t>
            </w:r>
          </w:p>
        </w:tc>
        <w:tc>
          <w:tcPr>
            <w:tcW w:w="3164"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满意度指标</w:t>
            </w:r>
          </w:p>
        </w:tc>
        <w:tc>
          <w:tcPr>
            <w:tcW w:w="1276" w:type="dxa"/>
            <w:gridSpan w:val="2"/>
            <w:noWrap w:val="0"/>
            <w:vAlign w:val="center"/>
          </w:tcPr>
          <w:p>
            <w:pPr>
              <w:pStyle w:val="18"/>
            </w:pPr>
            <w:r>
              <w:t>服务对象满意度指标</w:t>
            </w:r>
          </w:p>
        </w:tc>
        <w:tc>
          <w:tcPr>
            <w:tcW w:w="2239" w:type="dxa"/>
            <w:noWrap w:val="0"/>
            <w:vAlign w:val="center"/>
          </w:tcPr>
          <w:p>
            <w:pPr>
              <w:pStyle w:val="18"/>
            </w:pPr>
            <w:r>
              <w:t>群众满意度</w:t>
            </w:r>
          </w:p>
        </w:tc>
        <w:tc>
          <w:tcPr>
            <w:tcW w:w="4227" w:type="dxa"/>
            <w:noWrap w:val="0"/>
            <w:vAlign w:val="center"/>
          </w:tcPr>
          <w:p>
            <w:pPr>
              <w:pStyle w:val="18"/>
            </w:pPr>
            <w:r>
              <w:t>群众对当年人大主席团工作的整体满意度</w:t>
            </w:r>
          </w:p>
        </w:tc>
        <w:tc>
          <w:tcPr>
            <w:tcW w:w="1991" w:type="dxa"/>
            <w:noWrap w:val="0"/>
            <w:vAlign w:val="center"/>
          </w:tcPr>
          <w:p>
            <w:pPr>
              <w:pStyle w:val="18"/>
            </w:pPr>
            <w:r>
              <w:t>≥85百分比</w:t>
            </w:r>
          </w:p>
        </w:tc>
        <w:tc>
          <w:tcPr>
            <w:tcW w:w="3164" w:type="dxa"/>
            <w:noWrap w:val="0"/>
            <w:vAlign w:val="center"/>
          </w:tcPr>
          <w:p>
            <w:pPr>
              <w:pStyle w:val="18"/>
            </w:pPr>
            <w:r>
              <w:t>依据工作方案</w:t>
            </w:r>
          </w:p>
        </w:tc>
      </w:tr>
    </w:tbl>
    <w:p>
      <w:pPr>
        <w:spacing w:line="2" w:lineRule="exact"/>
        <w:jc w:val="center"/>
      </w:pPr>
      <w:r>
        <w:rPr>
          <w:rFonts w:ascii="方正书宋_GBK" w:hAnsi="方正书宋_GBK" w:eastAsia="方正书宋_GBK" w:cs="方正书宋_GBK"/>
          <w:color w:val="000000"/>
          <w:sz w:val="18"/>
        </w:rPr>
        <w:t xml:space="preserve"> </w:t>
      </w:r>
    </w:p>
    <w:p>
      <w:pPr>
        <w:sectPr>
          <w:pgSz w:w="16840" w:h="11900" w:orient="landscape"/>
          <w:pgMar w:top="1361" w:right="1020" w:bottom="1134" w:left="1020" w:header="720" w:footer="720" w:gutter="0"/>
          <w:cols w:space="720" w:num="1"/>
        </w:sectPr>
      </w:pPr>
    </w:p>
    <w:p>
      <w:pPr>
        <w:ind w:firstLine="281" w:firstLineChars="10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rPr>
        <w:t>食安经费（年初）绩效目标表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rPr>
                <w:rFonts w:hint="eastAsia"/>
              </w:rPr>
              <w:t>1.进一步加强本镇食品安全工作，落实食品生产经营者主体责任，增强政府监管效能，发挥社会组织的作用。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9"/>
        <w:gridCol w:w="2113"/>
        <w:gridCol w:w="2291"/>
        <w:gridCol w:w="3802"/>
        <w:gridCol w:w="1276"/>
        <w:gridCol w:w="32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49" w:type="dxa"/>
            <w:noWrap w:val="0"/>
            <w:vAlign w:val="center"/>
          </w:tcPr>
          <w:p>
            <w:pPr>
              <w:pStyle w:val="16"/>
            </w:pPr>
            <w:r>
              <w:t>一级指标</w:t>
            </w:r>
          </w:p>
        </w:tc>
        <w:tc>
          <w:tcPr>
            <w:tcW w:w="2113" w:type="dxa"/>
            <w:noWrap w:val="0"/>
            <w:vAlign w:val="center"/>
          </w:tcPr>
          <w:p>
            <w:pPr>
              <w:pStyle w:val="16"/>
            </w:pPr>
            <w:r>
              <w:t>二级指标</w:t>
            </w:r>
          </w:p>
        </w:tc>
        <w:tc>
          <w:tcPr>
            <w:tcW w:w="2291" w:type="dxa"/>
            <w:noWrap w:val="0"/>
            <w:vAlign w:val="center"/>
          </w:tcPr>
          <w:p>
            <w:pPr>
              <w:pStyle w:val="16"/>
            </w:pPr>
            <w:r>
              <w:t>三级指标</w:t>
            </w:r>
          </w:p>
        </w:tc>
        <w:tc>
          <w:tcPr>
            <w:tcW w:w="3802" w:type="dxa"/>
            <w:noWrap w:val="0"/>
            <w:vAlign w:val="center"/>
          </w:tcPr>
          <w:p>
            <w:pPr>
              <w:pStyle w:val="16"/>
            </w:pPr>
            <w:r>
              <w:t>绩效指标描述</w:t>
            </w:r>
          </w:p>
        </w:tc>
        <w:tc>
          <w:tcPr>
            <w:tcW w:w="1276" w:type="dxa"/>
            <w:noWrap w:val="0"/>
            <w:vAlign w:val="center"/>
          </w:tcPr>
          <w:p>
            <w:pPr>
              <w:pStyle w:val="16"/>
            </w:pPr>
            <w:r>
              <w:t>指标值</w:t>
            </w:r>
          </w:p>
        </w:tc>
        <w:tc>
          <w:tcPr>
            <w:tcW w:w="3241"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vMerge w:val="restart"/>
            <w:noWrap w:val="0"/>
            <w:vAlign w:val="center"/>
          </w:tcPr>
          <w:p>
            <w:pPr>
              <w:pStyle w:val="19"/>
            </w:pPr>
            <w:r>
              <w:t>产出指标</w:t>
            </w:r>
          </w:p>
        </w:tc>
        <w:tc>
          <w:tcPr>
            <w:tcW w:w="2113" w:type="dxa"/>
            <w:noWrap w:val="0"/>
            <w:vAlign w:val="center"/>
          </w:tcPr>
          <w:p>
            <w:pPr>
              <w:pStyle w:val="18"/>
            </w:pPr>
            <w:r>
              <w:t>数量指标</w:t>
            </w:r>
          </w:p>
        </w:tc>
        <w:tc>
          <w:tcPr>
            <w:tcW w:w="2291" w:type="dxa"/>
            <w:noWrap w:val="0"/>
            <w:vAlign w:val="center"/>
          </w:tcPr>
          <w:p>
            <w:pPr>
              <w:pStyle w:val="18"/>
            </w:pPr>
            <w:r>
              <w:t>组织宣传活动次数（次）</w:t>
            </w:r>
          </w:p>
        </w:tc>
        <w:tc>
          <w:tcPr>
            <w:tcW w:w="3802" w:type="dxa"/>
            <w:noWrap w:val="0"/>
            <w:vAlign w:val="center"/>
          </w:tcPr>
          <w:p>
            <w:pPr>
              <w:pStyle w:val="18"/>
            </w:pPr>
            <w:r>
              <w:t>组织宣传活动次数</w:t>
            </w:r>
          </w:p>
        </w:tc>
        <w:tc>
          <w:tcPr>
            <w:tcW w:w="1276" w:type="dxa"/>
            <w:noWrap w:val="0"/>
            <w:vAlign w:val="center"/>
          </w:tcPr>
          <w:p>
            <w:pPr>
              <w:pStyle w:val="18"/>
            </w:pPr>
            <w:r>
              <w:t>≥5次</w:t>
            </w:r>
          </w:p>
        </w:tc>
        <w:tc>
          <w:tcPr>
            <w:tcW w:w="3241"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vMerge w:val="continue"/>
            <w:noWrap w:val="0"/>
            <w:vAlign w:val="center"/>
          </w:tcPr>
          <w:p/>
        </w:tc>
        <w:tc>
          <w:tcPr>
            <w:tcW w:w="2113" w:type="dxa"/>
            <w:noWrap w:val="0"/>
            <w:vAlign w:val="center"/>
          </w:tcPr>
          <w:p>
            <w:pPr>
              <w:pStyle w:val="18"/>
            </w:pPr>
            <w:r>
              <w:t>质量指标</w:t>
            </w:r>
          </w:p>
        </w:tc>
        <w:tc>
          <w:tcPr>
            <w:tcW w:w="2291" w:type="dxa"/>
            <w:noWrap w:val="0"/>
            <w:vAlign w:val="center"/>
          </w:tcPr>
          <w:p>
            <w:pPr>
              <w:pStyle w:val="18"/>
            </w:pPr>
            <w:r>
              <w:t>抽查覆盖率</w:t>
            </w:r>
          </w:p>
        </w:tc>
        <w:tc>
          <w:tcPr>
            <w:tcW w:w="3802" w:type="dxa"/>
            <w:noWrap w:val="0"/>
            <w:vAlign w:val="center"/>
          </w:tcPr>
          <w:p>
            <w:pPr>
              <w:pStyle w:val="18"/>
            </w:pPr>
            <w:r>
              <w:t>抽查对象的数量占全部对象的比率</w:t>
            </w:r>
          </w:p>
        </w:tc>
        <w:tc>
          <w:tcPr>
            <w:tcW w:w="1276" w:type="dxa"/>
            <w:noWrap w:val="0"/>
            <w:vAlign w:val="center"/>
          </w:tcPr>
          <w:p>
            <w:pPr>
              <w:pStyle w:val="18"/>
            </w:pPr>
            <w:r>
              <w:t>≥90百分比</w:t>
            </w:r>
          </w:p>
        </w:tc>
        <w:tc>
          <w:tcPr>
            <w:tcW w:w="3241"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vMerge w:val="continue"/>
            <w:noWrap w:val="0"/>
            <w:vAlign w:val="center"/>
          </w:tcPr>
          <w:p/>
        </w:tc>
        <w:tc>
          <w:tcPr>
            <w:tcW w:w="2113" w:type="dxa"/>
            <w:noWrap w:val="0"/>
            <w:vAlign w:val="center"/>
          </w:tcPr>
          <w:p>
            <w:pPr>
              <w:pStyle w:val="18"/>
            </w:pPr>
            <w:r>
              <w:t>时效指标</w:t>
            </w:r>
          </w:p>
        </w:tc>
        <w:tc>
          <w:tcPr>
            <w:tcW w:w="2291" w:type="dxa"/>
            <w:noWrap w:val="0"/>
            <w:vAlign w:val="center"/>
          </w:tcPr>
          <w:p>
            <w:pPr>
              <w:pStyle w:val="18"/>
            </w:pPr>
            <w:r>
              <w:t>年度项目完成情况</w:t>
            </w:r>
          </w:p>
        </w:tc>
        <w:tc>
          <w:tcPr>
            <w:tcW w:w="3802" w:type="dxa"/>
            <w:noWrap w:val="0"/>
            <w:vAlign w:val="center"/>
          </w:tcPr>
          <w:p>
            <w:pPr>
              <w:pStyle w:val="18"/>
            </w:pPr>
            <w:r>
              <w:t>年度项目按规定时间点完成</w:t>
            </w:r>
          </w:p>
        </w:tc>
        <w:tc>
          <w:tcPr>
            <w:tcW w:w="1276" w:type="dxa"/>
            <w:noWrap w:val="0"/>
            <w:vAlign w:val="center"/>
          </w:tcPr>
          <w:p>
            <w:pPr>
              <w:pStyle w:val="18"/>
            </w:pPr>
            <w:r>
              <w:t>≥90百分比</w:t>
            </w:r>
          </w:p>
        </w:tc>
        <w:tc>
          <w:tcPr>
            <w:tcW w:w="3241"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vMerge w:val="continue"/>
            <w:noWrap w:val="0"/>
            <w:vAlign w:val="center"/>
          </w:tcPr>
          <w:p/>
        </w:tc>
        <w:tc>
          <w:tcPr>
            <w:tcW w:w="2113" w:type="dxa"/>
            <w:noWrap w:val="0"/>
            <w:vAlign w:val="center"/>
          </w:tcPr>
          <w:p>
            <w:pPr>
              <w:pStyle w:val="18"/>
            </w:pPr>
            <w:r>
              <w:t>成本指标</w:t>
            </w:r>
          </w:p>
        </w:tc>
        <w:tc>
          <w:tcPr>
            <w:tcW w:w="2291" w:type="dxa"/>
            <w:noWrap w:val="0"/>
            <w:vAlign w:val="center"/>
          </w:tcPr>
          <w:p>
            <w:pPr>
              <w:pStyle w:val="18"/>
            </w:pPr>
            <w:r>
              <w:t>经费控制数</w:t>
            </w:r>
          </w:p>
        </w:tc>
        <w:tc>
          <w:tcPr>
            <w:tcW w:w="3802" w:type="dxa"/>
            <w:noWrap w:val="0"/>
            <w:vAlign w:val="center"/>
          </w:tcPr>
          <w:p>
            <w:pPr>
              <w:pStyle w:val="18"/>
            </w:pPr>
            <w:r>
              <w:t>经费控制数</w:t>
            </w:r>
          </w:p>
        </w:tc>
        <w:tc>
          <w:tcPr>
            <w:tcW w:w="1276" w:type="dxa"/>
            <w:noWrap w:val="0"/>
            <w:vAlign w:val="center"/>
          </w:tcPr>
          <w:p>
            <w:pPr>
              <w:pStyle w:val="18"/>
            </w:pPr>
            <w:r>
              <w:t>≤0.72万元</w:t>
            </w:r>
          </w:p>
        </w:tc>
        <w:tc>
          <w:tcPr>
            <w:tcW w:w="3241"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noWrap w:val="0"/>
            <w:vAlign w:val="center"/>
          </w:tcPr>
          <w:p>
            <w:pPr>
              <w:pStyle w:val="19"/>
            </w:pPr>
            <w:r>
              <w:t>效益指标</w:t>
            </w:r>
          </w:p>
        </w:tc>
        <w:tc>
          <w:tcPr>
            <w:tcW w:w="2113" w:type="dxa"/>
            <w:noWrap w:val="0"/>
            <w:vAlign w:val="center"/>
          </w:tcPr>
          <w:p>
            <w:pPr>
              <w:pStyle w:val="18"/>
            </w:pPr>
            <w:r>
              <w:t>社会效益指标</w:t>
            </w:r>
          </w:p>
        </w:tc>
        <w:tc>
          <w:tcPr>
            <w:tcW w:w="2291" w:type="dxa"/>
            <w:noWrap w:val="0"/>
            <w:vAlign w:val="center"/>
          </w:tcPr>
          <w:p>
            <w:pPr>
              <w:pStyle w:val="18"/>
            </w:pPr>
            <w:r>
              <w:t>对食品安全的监管作用</w:t>
            </w:r>
          </w:p>
        </w:tc>
        <w:tc>
          <w:tcPr>
            <w:tcW w:w="3802" w:type="dxa"/>
            <w:noWrap w:val="0"/>
            <w:vAlign w:val="center"/>
          </w:tcPr>
          <w:p>
            <w:pPr>
              <w:pStyle w:val="18"/>
            </w:pPr>
            <w:r>
              <w:t>通过对食品安全的监管，确保本地区食品安全</w:t>
            </w:r>
          </w:p>
        </w:tc>
        <w:tc>
          <w:tcPr>
            <w:tcW w:w="1276" w:type="dxa"/>
            <w:noWrap w:val="0"/>
            <w:vAlign w:val="center"/>
          </w:tcPr>
          <w:p>
            <w:pPr>
              <w:pStyle w:val="18"/>
            </w:pPr>
            <w:r>
              <w:t>≥90百分比</w:t>
            </w:r>
          </w:p>
        </w:tc>
        <w:tc>
          <w:tcPr>
            <w:tcW w:w="3241"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noWrap w:val="0"/>
            <w:vAlign w:val="center"/>
          </w:tcPr>
          <w:p>
            <w:pPr>
              <w:pStyle w:val="19"/>
            </w:pPr>
            <w:r>
              <w:t>满意度指标</w:t>
            </w:r>
          </w:p>
        </w:tc>
        <w:tc>
          <w:tcPr>
            <w:tcW w:w="2113" w:type="dxa"/>
            <w:noWrap w:val="0"/>
            <w:vAlign w:val="center"/>
          </w:tcPr>
          <w:p>
            <w:pPr>
              <w:pStyle w:val="18"/>
            </w:pPr>
            <w:r>
              <w:t>服务对象满意度指标</w:t>
            </w:r>
          </w:p>
        </w:tc>
        <w:tc>
          <w:tcPr>
            <w:tcW w:w="2291" w:type="dxa"/>
            <w:noWrap w:val="0"/>
            <w:vAlign w:val="center"/>
          </w:tcPr>
          <w:p>
            <w:pPr>
              <w:pStyle w:val="18"/>
            </w:pPr>
            <w:r>
              <w:t>服务对象满意度</w:t>
            </w:r>
          </w:p>
        </w:tc>
        <w:tc>
          <w:tcPr>
            <w:tcW w:w="3802" w:type="dxa"/>
            <w:noWrap w:val="0"/>
            <w:vAlign w:val="center"/>
          </w:tcPr>
          <w:p>
            <w:pPr>
              <w:pStyle w:val="18"/>
            </w:pPr>
            <w:r>
              <w:t>接受食品安全监管的人群对食品安全监管工作的满意程度</w:t>
            </w:r>
          </w:p>
        </w:tc>
        <w:tc>
          <w:tcPr>
            <w:tcW w:w="1276" w:type="dxa"/>
            <w:noWrap w:val="0"/>
            <w:vAlign w:val="center"/>
          </w:tcPr>
          <w:p>
            <w:pPr>
              <w:pStyle w:val="18"/>
            </w:pPr>
            <w:r>
              <w:t>≥90百分比</w:t>
            </w:r>
          </w:p>
        </w:tc>
        <w:tc>
          <w:tcPr>
            <w:tcW w:w="3241" w:type="dxa"/>
            <w:noWrap w:val="0"/>
            <w:vAlign w:val="center"/>
          </w:tcPr>
          <w:p>
            <w:pPr>
              <w:pStyle w:val="18"/>
            </w:pPr>
            <w:r>
              <w:t>依据工作方案</w:t>
            </w:r>
          </w:p>
        </w:tc>
      </w:tr>
    </w:tbl>
    <w:p/>
    <w:p/>
    <w:p>
      <w:pPr>
        <w:ind w:firstLine="281" w:firstLineChars="100"/>
        <w:rPr>
          <w:rFonts w:hint="eastAsia"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6</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团委经费（年初）绩效目标表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rPr>
                <w:rFonts w:hint="eastAsia"/>
              </w:rPr>
              <w:t>1.科学地继承和发扬共青团的优良传统，创新团的工作，找准新时代的中心定位，把各项改革措施不折不扣落实到位。</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pPr w:leftFromText="180" w:rightFromText="180" w:vertAnchor="text" w:horzAnchor="page" w:tblpX="1474" w:tblpY="6"/>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0"/>
        <w:gridCol w:w="2319"/>
        <w:gridCol w:w="5100"/>
        <w:gridCol w:w="1936"/>
        <w:gridCol w:w="34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390" w:type="dxa"/>
            <w:noWrap w:val="0"/>
            <w:vAlign w:val="center"/>
          </w:tcPr>
          <w:p>
            <w:pPr>
              <w:pStyle w:val="16"/>
            </w:pPr>
            <w:r>
              <w:t>一级指标</w:t>
            </w:r>
          </w:p>
        </w:tc>
        <w:tc>
          <w:tcPr>
            <w:tcW w:w="2319" w:type="dxa"/>
            <w:noWrap w:val="0"/>
            <w:vAlign w:val="center"/>
          </w:tcPr>
          <w:p>
            <w:pPr>
              <w:pStyle w:val="16"/>
            </w:pPr>
            <w:r>
              <w:t>三级指标</w:t>
            </w:r>
          </w:p>
        </w:tc>
        <w:tc>
          <w:tcPr>
            <w:tcW w:w="5100" w:type="dxa"/>
            <w:noWrap w:val="0"/>
            <w:vAlign w:val="center"/>
          </w:tcPr>
          <w:p>
            <w:pPr>
              <w:pStyle w:val="16"/>
            </w:pPr>
            <w:r>
              <w:t>绩效指标描述</w:t>
            </w:r>
          </w:p>
        </w:tc>
        <w:tc>
          <w:tcPr>
            <w:tcW w:w="1936" w:type="dxa"/>
            <w:noWrap w:val="0"/>
            <w:vAlign w:val="center"/>
          </w:tcPr>
          <w:p>
            <w:pPr>
              <w:pStyle w:val="16"/>
            </w:pPr>
            <w:r>
              <w:t>指标值</w:t>
            </w:r>
          </w:p>
        </w:tc>
        <w:tc>
          <w:tcPr>
            <w:tcW w:w="3423" w:type="dxa"/>
            <w:noWrap w:val="0"/>
            <w:vAlign w:val="center"/>
          </w:tcPr>
          <w:p>
            <w:pPr>
              <w:pStyle w:val="16"/>
            </w:pPr>
            <w:r>
              <w:t>指标值确定依据</w:t>
            </w:r>
          </w:p>
        </w:tc>
      </w:tr>
      <w:tr>
        <w:tblPrEx>
          <w:tblCellMar>
            <w:top w:w="0" w:type="dxa"/>
            <w:left w:w="108" w:type="dxa"/>
            <w:bottom w:w="0" w:type="dxa"/>
            <w:right w:w="108" w:type="dxa"/>
          </w:tblCellMar>
        </w:tblPrEx>
        <w:trPr>
          <w:trHeight w:val="369" w:hRule="atLeast"/>
        </w:trPr>
        <w:tc>
          <w:tcPr>
            <w:tcW w:w="1390" w:type="dxa"/>
            <w:vMerge w:val="restart"/>
            <w:noWrap w:val="0"/>
            <w:vAlign w:val="center"/>
          </w:tcPr>
          <w:p>
            <w:pPr>
              <w:pStyle w:val="19"/>
            </w:pPr>
            <w:r>
              <w:t>产出指标</w:t>
            </w:r>
          </w:p>
        </w:tc>
        <w:tc>
          <w:tcPr>
            <w:tcW w:w="2319" w:type="dxa"/>
            <w:noWrap w:val="0"/>
            <w:vAlign w:val="center"/>
          </w:tcPr>
          <w:p>
            <w:pPr>
              <w:pStyle w:val="18"/>
            </w:pPr>
            <w:r>
              <w:t>开办宣传专栏数</w:t>
            </w:r>
          </w:p>
        </w:tc>
        <w:tc>
          <w:tcPr>
            <w:tcW w:w="5100" w:type="dxa"/>
            <w:noWrap w:val="0"/>
            <w:vAlign w:val="center"/>
          </w:tcPr>
          <w:p>
            <w:pPr>
              <w:pStyle w:val="18"/>
            </w:pPr>
            <w:r>
              <w:t>在新闻媒体开办宣传专栏的数量</w:t>
            </w:r>
          </w:p>
        </w:tc>
        <w:tc>
          <w:tcPr>
            <w:tcW w:w="1936" w:type="dxa"/>
            <w:noWrap w:val="0"/>
            <w:vAlign w:val="center"/>
          </w:tcPr>
          <w:p>
            <w:pPr>
              <w:pStyle w:val="18"/>
            </w:pPr>
            <w:r>
              <w:t>≥5个</w:t>
            </w:r>
          </w:p>
        </w:tc>
        <w:tc>
          <w:tcPr>
            <w:tcW w:w="3423" w:type="dxa"/>
            <w:noWrap w:val="0"/>
            <w:vAlign w:val="center"/>
          </w:tcPr>
          <w:p>
            <w:pPr>
              <w:pStyle w:val="18"/>
            </w:pPr>
            <w:r>
              <w:t>依据工作方案</w:t>
            </w:r>
          </w:p>
        </w:tc>
      </w:tr>
      <w:tr>
        <w:tblPrEx>
          <w:tblCellMar>
            <w:top w:w="0" w:type="dxa"/>
            <w:left w:w="108" w:type="dxa"/>
            <w:bottom w:w="0" w:type="dxa"/>
            <w:right w:w="108" w:type="dxa"/>
          </w:tblCellMar>
        </w:tblPrEx>
        <w:trPr>
          <w:trHeight w:val="369" w:hRule="atLeast"/>
        </w:trPr>
        <w:tc>
          <w:tcPr>
            <w:tcW w:w="1390" w:type="dxa"/>
            <w:vMerge w:val="continue"/>
            <w:noWrap w:val="0"/>
            <w:vAlign w:val="center"/>
          </w:tcPr>
          <w:p/>
        </w:tc>
        <w:tc>
          <w:tcPr>
            <w:tcW w:w="2319" w:type="dxa"/>
            <w:noWrap w:val="0"/>
            <w:vAlign w:val="center"/>
          </w:tcPr>
          <w:p>
            <w:pPr>
              <w:pStyle w:val="18"/>
            </w:pPr>
            <w:r>
              <w:t>制作宣传品</w:t>
            </w:r>
          </w:p>
        </w:tc>
        <w:tc>
          <w:tcPr>
            <w:tcW w:w="5100" w:type="dxa"/>
            <w:noWrap w:val="0"/>
            <w:vAlign w:val="center"/>
          </w:tcPr>
          <w:p>
            <w:pPr>
              <w:pStyle w:val="18"/>
            </w:pPr>
            <w:r>
              <w:t>制作宣传品的数量</w:t>
            </w:r>
          </w:p>
        </w:tc>
        <w:tc>
          <w:tcPr>
            <w:tcW w:w="1936" w:type="dxa"/>
            <w:noWrap w:val="0"/>
            <w:vAlign w:val="center"/>
          </w:tcPr>
          <w:p>
            <w:pPr>
              <w:pStyle w:val="18"/>
            </w:pPr>
            <w:r>
              <w:t>≥1000份</w:t>
            </w:r>
          </w:p>
        </w:tc>
        <w:tc>
          <w:tcPr>
            <w:tcW w:w="3423" w:type="dxa"/>
            <w:noWrap w:val="0"/>
            <w:vAlign w:val="center"/>
          </w:tcPr>
          <w:p>
            <w:pPr>
              <w:pStyle w:val="18"/>
            </w:pPr>
            <w:r>
              <w:t>依据工作方案</w:t>
            </w:r>
          </w:p>
        </w:tc>
      </w:tr>
      <w:tr>
        <w:tblPrEx>
          <w:tblCellMar>
            <w:top w:w="0" w:type="dxa"/>
            <w:left w:w="108" w:type="dxa"/>
            <w:bottom w:w="0" w:type="dxa"/>
            <w:right w:w="108" w:type="dxa"/>
          </w:tblCellMar>
        </w:tblPrEx>
        <w:trPr>
          <w:trHeight w:val="369" w:hRule="atLeast"/>
        </w:trPr>
        <w:tc>
          <w:tcPr>
            <w:tcW w:w="1390" w:type="dxa"/>
            <w:vMerge w:val="continue"/>
            <w:noWrap w:val="0"/>
            <w:vAlign w:val="center"/>
          </w:tcPr>
          <w:p/>
        </w:tc>
        <w:tc>
          <w:tcPr>
            <w:tcW w:w="2319" w:type="dxa"/>
            <w:noWrap w:val="0"/>
            <w:vAlign w:val="center"/>
          </w:tcPr>
          <w:p>
            <w:pPr>
              <w:pStyle w:val="18"/>
            </w:pPr>
            <w:r>
              <w:t>年度项目完成情况</w:t>
            </w:r>
          </w:p>
        </w:tc>
        <w:tc>
          <w:tcPr>
            <w:tcW w:w="5100" w:type="dxa"/>
            <w:noWrap w:val="0"/>
            <w:vAlign w:val="center"/>
          </w:tcPr>
          <w:p>
            <w:pPr>
              <w:pStyle w:val="18"/>
            </w:pPr>
            <w:r>
              <w:t>年度项目按规定时间点完成</w:t>
            </w:r>
          </w:p>
        </w:tc>
        <w:tc>
          <w:tcPr>
            <w:tcW w:w="1936" w:type="dxa"/>
            <w:noWrap w:val="0"/>
            <w:vAlign w:val="center"/>
          </w:tcPr>
          <w:p>
            <w:pPr>
              <w:pStyle w:val="18"/>
            </w:pPr>
            <w:r>
              <w:t>≥90百分比</w:t>
            </w:r>
          </w:p>
        </w:tc>
        <w:tc>
          <w:tcPr>
            <w:tcW w:w="3423" w:type="dxa"/>
            <w:noWrap w:val="0"/>
            <w:vAlign w:val="center"/>
          </w:tcPr>
          <w:p>
            <w:pPr>
              <w:pStyle w:val="18"/>
            </w:pPr>
            <w:r>
              <w:t>依据工作方案</w:t>
            </w:r>
          </w:p>
        </w:tc>
      </w:tr>
      <w:tr>
        <w:tblPrEx>
          <w:tblCellMar>
            <w:top w:w="0" w:type="dxa"/>
            <w:left w:w="108" w:type="dxa"/>
            <w:bottom w:w="0" w:type="dxa"/>
            <w:right w:w="108" w:type="dxa"/>
          </w:tblCellMar>
        </w:tblPrEx>
        <w:trPr>
          <w:trHeight w:val="369" w:hRule="atLeast"/>
        </w:trPr>
        <w:tc>
          <w:tcPr>
            <w:tcW w:w="1390" w:type="dxa"/>
            <w:vMerge w:val="continue"/>
            <w:noWrap w:val="0"/>
            <w:vAlign w:val="center"/>
          </w:tcPr>
          <w:p/>
        </w:tc>
        <w:tc>
          <w:tcPr>
            <w:tcW w:w="2319" w:type="dxa"/>
            <w:noWrap w:val="0"/>
            <w:vAlign w:val="center"/>
          </w:tcPr>
          <w:p>
            <w:pPr>
              <w:pStyle w:val="18"/>
            </w:pPr>
            <w:r>
              <w:t>经费控制数</w:t>
            </w:r>
          </w:p>
        </w:tc>
        <w:tc>
          <w:tcPr>
            <w:tcW w:w="5100" w:type="dxa"/>
            <w:noWrap w:val="0"/>
            <w:vAlign w:val="center"/>
          </w:tcPr>
          <w:p>
            <w:pPr>
              <w:pStyle w:val="18"/>
            </w:pPr>
            <w:r>
              <w:t>经费控制数</w:t>
            </w:r>
          </w:p>
        </w:tc>
        <w:tc>
          <w:tcPr>
            <w:tcW w:w="1936" w:type="dxa"/>
            <w:noWrap w:val="0"/>
            <w:vAlign w:val="center"/>
          </w:tcPr>
          <w:p>
            <w:pPr>
              <w:pStyle w:val="18"/>
            </w:pPr>
            <w:r>
              <w:t>≤2万元</w:t>
            </w:r>
          </w:p>
        </w:tc>
        <w:tc>
          <w:tcPr>
            <w:tcW w:w="3423" w:type="dxa"/>
            <w:noWrap w:val="0"/>
            <w:vAlign w:val="center"/>
          </w:tcPr>
          <w:p>
            <w:pPr>
              <w:pStyle w:val="18"/>
            </w:pPr>
            <w:r>
              <w:t>依据工作方案</w:t>
            </w:r>
          </w:p>
        </w:tc>
      </w:tr>
      <w:tr>
        <w:tblPrEx>
          <w:tblCellMar>
            <w:top w:w="0" w:type="dxa"/>
            <w:left w:w="108" w:type="dxa"/>
            <w:bottom w:w="0" w:type="dxa"/>
            <w:right w:w="108" w:type="dxa"/>
          </w:tblCellMar>
        </w:tblPrEx>
        <w:trPr>
          <w:trHeight w:val="369" w:hRule="atLeast"/>
        </w:trPr>
        <w:tc>
          <w:tcPr>
            <w:tcW w:w="1390" w:type="dxa"/>
            <w:noWrap w:val="0"/>
            <w:vAlign w:val="center"/>
          </w:tcPr>
          <w:p>
            <w:pPr>
              <w:pStyle w:val="19"/>
            </w:pPr>
            <w:r>
              <w:t>效益指标</w:t>
            </w:r>
          </w:p>
        </w:tc>
        <w:tc>
          <w:tcPr>
            <w:tcW w:w="2319" w:type="dxa"/>
            <w:noWrap w:val="0"/>
            <w:vAlign w:val="center"/>
          </w:tcPr>
          <w:p>
            <w:pPr>
              <w:pStyle w:val="18"/>
            </w:pPr>
            <w:r>
              <w:t>参与政府决策活动次数</w:t>
            </w:r>
          </w:p>
        </w:tc>
        <w:tc>
          <w:tcPr>
            <w:tcW w:w="5100" w:type="dxa"/>
            <w:noWrap w:val="0"/>
            <w:vAlign w:val="center"/>
          </w:tcPr>
          <w:p>
            <w:pPr>
              <w:pStyle w:val="18"/>
            </w:pPr>
            <w:r>
              <w:t>参与决策咨询活动次数</w:t>
            </w:r>
          </w:p>
        </w:tc>
        <w:tc>
          <w:tcPr>
            <w:tcW w:w="1936" w:type="dxa"/>
            <w:noWrap w:val="0"/>
            <w:vAlign w:val="center"/>
          </w:tcPr>
          <w:p>
            <w:pPr>
              <w:pStyle w:val="18"/>
            </w:pPr>
            <w:r>
              <w:t>≥5次</w:t>
            </w:r>
          </w:p>
        </w:tc>
        <w:tc>
          <w:tcPr>
            <w:tcW w:w="3423" w:type="dxa"/>
            <w:noWrap w:val="0"/>
            <w:vAlign w:val="center"/>
          </w:tcPr>
          <w:p>
            <w:pPr>
              <w:pStyle w:val="18"/>
            </w:pPr>
            <w:r>
              <w:t>依据工作方案</w:t>
            </w:r>
          </w:p>
        </w:tc>
      </w:tr>
      <w:tr>
        <w:tblPrEx>
          <w:tblCellMar>
            <w:top w:w="0" w:type="dxa"/>
            <w:left w:w="108" w:type="dxa"/>
            <w:bottom w:w="0" w:type="dxa"/>
            <w:right w:w="108" w:type="dxa"/>
          </w:tblCellMar>
        </w:tblPrEx>
        <w:trPr>
          <w:trHeight w:val="369" w:hRule="atLeast"/>
        </w:trPr>
        <w:tc>
          <w:tcPr>
            <w:tcW w:w="1390" w:type="dxa"/>
            <w:noWrap w:val="0"/>
            <w:vAlign w:val="center"/>
          </w:tcPr>
          <w:p>
            <w:pPr>
              <w:pStyle w:val="19"/>
            </w:pPr>
            <w:r>
              <w:t>满意度指标</w:t>
            </w:r>
          </w:p>
        </w:tc>
        <w:tc>
          <w:tcPr>
            <w:tcW w:w="2319" w:type="dxa"/>
            <w:noWrap w:val="0"/>
            <w:vAlign w:val="center"/>
          </w:tcPr>
          <w:p>
            <w:pPr>
              <w:pStyle w:val="18"/>
            </w:pPr>
            <w:r>
              <w:t>服务对象满意度</w:t>
            </w:r>
          </w:p>
        </w:tc>
        <w:tc>
          <w:tcPr>
            <w:tcW w:w="5100" w:type="dxa"/>
            <w:noWrap w:val="0"/>
            <w:vAlign w:val="center"/>
          </w:tcPr>
          <w:p>
            <w:pPr>
              <w:pStyle w:val="18"/>
            </w:pPr>
            <w:r>
              <w:t>服务对象满意度</w:t>
            </w:r>
          </w:p>
        </w:tc>
        <w:tc>
          <w:tcPr>
            <w:tcW w:w="1936" w:type="dxa"/>
            <w:noWrap w:val="0"/>
            <w:vAlign w:val="center"/>
          </w:tcPr>
          <w:p>
            <w:pPr>
              <w:pStyle w:val="18"/>
            </w:pPr>
            <w:r>
              <w:t>≥90百分比</w:t>
            </w:r>
          </w:p>
        </w:tc>
        <w:tc>
          <w:tcPr>
            <w:tcW w:w="3423" w:type="dxa"/>
            <w:noWrap w:val="0"/>
            <w:vAlign w:val="center"/>
          </w:tcPr>
          <w:p>
            <w:pPr>
              <w:pStyle w:val="18"/>
            </w:pPr>
            <w:r>
              <w:t>依据工作方案</w:t>
            </w:r>
          </w:p>
        </w:tc>
      </w:tr>
    </w:tbl>
    <w:p>
      <w:pPr>
        <w:rPr>
          <w:rFonts w:hint="default" w:eastAsia="宋体"/>
          <w:lang w:val="en-US" w:eastAsia="zh-CN"/>
        </w:rPr>
      </w:pPr>
      <w:r>
        <w:rPr>
          <w:rFonts w:hint="eastAsia" w:eastAsia="宋体"/>
          <w:lang w:val="en-US" w:eastAsia="zh-CN"/>
        </w:rPr>
        <w:t xml:space="preserve">     </w:t>
      </w:r>
    </w:p>
    <w:p>
      <w:pPr>
        <w:rPr>
          <w:rFonts w:hint="default" w:eastAsia="宋体"/>
          <w:lang w:val="en-US" w:eastAsia="zh-CN"/>
        </w:rPr>
      </w:pPr>
    </w:p>
    <w:p/>
    <w:p>
      <w:pPr>
        <w:ind w:firstLine="281" w:firstLineChars="10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7</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维稳经费（年初）绩效目标表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rPr>
                <w:rFonts w:hint="eastAsia"/>
              </w:rPr>
              <w:t>1.做好信访稳控工作，减少越级访、群访等恶性事件，有效的遏制非法上访；处理人民群众来信、来访，接待和处理人民群众反映的情况和问题。</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8"/>
        <w:gridCol w:w="1104"/>
        <w:gridCol w:w="3109"/>
        <w:gridCol w:w="3764"/>
        <w:gridCol w:w="1691"/>
        <w:gridCol w:w="30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48" w:type="dxa"/>
            <w:noWrap w:val="0"/>
            <w:vAlign w:val="center"/>
          </w:tcPr>
          <w:p>
            <w:pPr>
              <w:pStyle w:val="16"/>
            </w:pPr>
            <w:r>
              <w:t>一级指标</w:t>
            </w:r>
          </w:p>
        </w:tc>
        <w:tc>
          <w:tcPr>
            <w:tcW w:w="1104" w:type="dxa"/>
            <w:noWrap w:val="0"/>
            <w:vAlign w:val="center"/>
          </w:tcPr>
          <w:p>
            <w:pPr>
              <w:pStyle w:val="16"/>
            </w:pPr>
            <w:r>
              <w:t>二级指标</w:t>
            </w:r>
          </w:p>
        </w:tc>
        <w:tc>
          <w:tcPr>
            <w:tcW w:w="3109" w:type="dxa"/>
            <w:noWrap w:val="0"/>
            <w:vAlign w:val="center"/>
          </w:tcPr>
          <w:p>
            <w:pPr>
              <w:pStyle w:val="16"/>
            </w:pPr>
            <w:r>
              <w:t>三级指标</w:t>
            </w:r>
          </w:p>
        </w:tc>
        <w:tc>
          <w:tcPr>
            <w:tcW w:w="3764" w:type="dxa"/>
            <w:noWrap w:val="0"/>
            <w:vAlign w:val="center"/>
          </w:tcPr>
          <w:p>
            <w:pPr>
              <w:pStyle w:val="16"/>
            </w:pPr>
            <w:r>
              <w:t>绩效指标描述</w:t>
            </w:r>
          </w:p>
        </w:tc>
        <w:tc>
          <w:tcPr>
            <w:tcW w:w="1691" w:type="dxa"/>
            <w:noWrap w:val="0"/>
            <w:vAlign w:val="center"/>
          </w:tcPr>
          <w:p>
            <w:pPr>
              <w:pStyle w:val="16"/>
            </w:pPr>
            <w:r>
              <w:t>指标值</w:t>
            </w:r>
          </w:p>
        </w:tc>
        <w:tc>
          <w:tcPr>
            <w:tcW w:w="305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vMerge w:val="restart"/>
            <w:noWrap w:val="0"/>
            <w:vAlign w:val="center"/>
          </w:tcPr>
          <w:p>
            <w:pPr>
              <w:pStyle w:val="19"/>
            </w:pPr>
            <w:r>
              <w:t>产出指标</w:t>
            </w:r>
          </w:p>
        </w:tc>
        <w:tc>
          <w:tcPr>
            <w:tcW w:w="1104" w:type="dxa"/>
            <w:noWrap w:val="0"/>
            <w:vAlign w:val="center"/>
          </w:tcPr>
          <w:p>
            <w:pPr>
              <w:pStyle w:val="18"/>
            </w:pPr>
            <w:r>
              <w:t>数量指标</w:t>
            </w:r>
          </w:p>
        </w:tc>
        <w:tc>
          <w:tcPr>
            <w:tcW w:w="3109" w:type="dxa"/>
            <w:noWrap w:val="0"/>
            <w:vAlign w:val="center"/>
          </w:tcPr>
          <w:p>
            <w:pPr>
              <w:pStyle w:val="18"/>
            </w:pPr>
            <w:r>
              <w:t>重要时期专项护路任务次数（次）</w:t>
            </w:r>
          </w:p>
        </w:tc>
        <w:tc>
          <w:tcPr>
            <w:tcW w:w="3764" w:type="dxa"/>
            <w:noWrap w:val="0"/>
            <w:vAlign w:val="center"/>
          </w:tcPr>
          <w:p>
            <w:pPr>
              <w:pStyle w:val="18"/>
            </w:pPr>
            <w:r>
              <w:t>重要时期专项护路任务次数（次）</w:t>
            </w:r>
          </w:p>
        </w:tc>
        <w:tc>
          <w:tcPr>
            <w:tcW w:w="1691" w:type="dxa"/>
            <w:noWrap w:val="0"/>
            <w:vAlign w:val="center"/>
          </w:tcPr>
          <w:p>
            <w:pPr>
              <w:pStyle w:val="18"/>
            </w:pPr>
            <w:r>
              <w:t>≥2次</w:t>
            </w:r>
          </w:p>
        </w:tc>
        <w:tc>
          <w:tcPr>
            <w:tcW w:w="3053" w:type="dxa"/>
            <w:noWrap w:val="0"/>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vMerge w:val="continue"/>
            <w:noWrap w:val="0"/>
            <w:vAlign w:val="center"/>
          </w:tcPr>
          <w:p/>
        </w:tc>
        <w:tc>
          <w:tcPr>
            <w:tcW w:w="1104" w:type="dxa"/>
            <w:noWrap w:val="0"/>
            <w:vAlign w:val="center"/>
          </w:tcPr>
          <w:p>
            <w:pPr>
              <w:pStyle w:val="18"/>
            </w:pPr>
            <w:r>
              <w:t>质量指标</w:t>
            </w:r>
          </w:p>
        </w:tc>
        <w:tc>
          <w:tcPr>
            <w:tcW w:w="3109" w:type="dxa"/>
            <w:noWrap w:val="0"/>
            <w:vAlign w:val="center"/>
          </w:tcPr>
          <w:p>
            <w:pPr>
              <w:pStyle w:val="18"/>
            </w:pPr>
            <w:r>
              <w:t>矛盾纠纷调处率(%)</w:t>
            </w:r>
          </w:p>
        </w:tc>
        <w:tc>
          <w:tcPr>
            <w:tcW w:w="3764" w:type="dxa"/>
            <w:noWrap w:val="0"/>
            <w:vAlign w:val="center"/>
          </w:tcPr>
          <w:p>
            <w:pPr>
              <w:pStyle w:val="18"/>
            </w:pPr>
            <w:r>
              <w:t>矛盾纠纷调处率(%)</w:t>
            </w:r>
          </w:p>
        </w:tc>
        <w:tc>
          <w:tcPr>
            <w:tcW w:w="1691" w:type="dxa"/>
            <w:noWrap w:val="0"/>
            <w:vAlign w:val="center"/>
          </w:tcPr>
          <w:p>
            <w:pPr>
              <w:pStyle w:val="18"/>
            </w:pPr>
            <w:r>
              <w:t>≥90百分比</w:t>
            </w:r>
          </w:p>
        </w:tc>
        <w:tc>
          <w:tcPr>
            <w:tcW w:w="3053" w:type="dxa"/>
            <w:noWrap w:val="0"/>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vMerge w:val="continue"/>
            <w:noWrap w:val="0"/>
            <w:vAlign w:val="center"/>
          </w:tcPr>
          <w:p/>
        </w:tc>
        <w:tc>
          <w:tcPr>
            <w:tcW w:w="1104" w:type="dxa"/>
            <w:noWrap w:val="0"/>
            <w:vAlign w:val="center"/>
          </w:tcPr>
          <w:p>
            <w:pPr>
              <w:pStyle w:val="18"/>
            </w:pPr>
            <w:r>
              <w:t>成本指标</w:t>
            </w:r>
          </w:p>
        </w:tc>
        <w:tc>
          <w:tcPr>
            <w:tcW w:w="3109" w:type="dxa"/>
            <w:noWrap w:val="0"/>
            <w:vAlign w:val="center"/>
          </w:tcPr>
          <w:p>
            <w:pPr>
              <w:pStyle w:val="18"/>
            </w:pPr>
            <w:r>
              <w:t>经费控制数</w:t>
            </w:r>
          </w:p>
        </w:tc>
        <w:tc>
          <w:tcPr>
            <w:tcW w:w="3764" w:type="dxa"/>
            <w:noWrap w:val="0"/>
            <w:vAlign w:val="center"/>
          </w:tcPr>
          <w:p>
            <w:pPr>
              <w:pStyle w:val="18"/>
            </w:pPr>
            <w:r>
              <w:t>经费控制数</w:t>
            </w:r>
          </w:p>
        </w:tc>
        <w:tc>
          <w:tcPr>
            <w:tcW w:w="1691" w:type="dxa"/>
            <w:noWrap w:val="0"/>
            <w:vAlign w:val="center"/>
          </w:tcPr>
          <w:p>
            <w:pPr>
              <w:pStyle w:val="18"/>
            </w:pPr>
            <w:r>
              <w:t>≤8万元</w:t>
            </w:r>
          </w:p>
        </w:tc>
        <w:tc>
          <w:tcPr>
            <w:tcW w:w="3053" w:type="dxa"/>
            <w:noWrap w:val="0"/>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vMerge w:val="continue"/>
            <w:noWrap w:val="0"/>
            <w:vAlign w:val="center"/>
          </w:tcPr>
          <w:p/>
        </w:tc>
        <w:tc>
          <w:tcPr>
            <w:tcW w:w="1104" w:type="dxa"/>
            <w:noWrap w:val="0"/>
            <w:vAlign w:val="center"/>
          </w:tcPr>
          <w:p>
            <w:pPr>
              <w:pStyle w:val="18"/>
            </w:pPr>
            <w:r>
              <w:t>时效指标</w:t>
            </w:r>
          </w:p>
        </w:tc>
        <w:tc>
          <w:tcPr>
            <w:tcW w:w="3109" w:type="dxa"/>
            <w:noWrap w:val="0"/>
            <w:vAlign w:val="center"/>
          </w:tcPr>
          <w:p>
            <w:pPr>
              <w:pStyle w:val="18"/>
            </w:pPr>
            <w:r>
              <w:t>各项任务完成及时率（%）</w:t>
            </w:r>
          </w:p>
        </w:tc>
        <w:tc>
          <w:tcPr>
            <w:tcW w:w="3764" w:type="dxa"/>
            <w:noWrap w:val="0"/>
            <w:vAlign w:val="center"/>
          </w:tcPr>
          <w:p>
            <w:pPr>
              <w:pStyle w:val="18"/>
            </w:pPr>
            <w:r>
              <w:t>各项任务完成及时率（%）</w:t>
            </w:r>
          </w:p>
        </w:tc>
        <w:tc>
          <w:tcPr>
            <w:tcW w:w="1691" w:type="dxa"/>
            <w:noWrap w:val="0"/>
            <w:vAlign w:val="center"/>
          </w:tcPr>
          <w:p>
            <w:pPr>
              <w:pStyle w:val="18"/>
            </w:pPr>
            <w:r>
              <w:t>≥90百分比</w:t>
            </w:r>
          </w:p>
        </w:tc>
        <w:tc>
          <w:tcPr>
            <w:tcW w:w="3053" w:type="dxa"/>
            <w:noWrap w:val="0"/>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noWrap w:val="0"/>
            <w:vAlign w:val="center"/>
          </w:tcPr>
          <w:p>
            <w:pPr>
              <w:pStyle w:val="19"/>
            </w:pPr>
            <w:r>
              <w:t>效益指标</w:t>
            </w:r>
          </w:p>
        </w:tc>
        <w:tc>
          <w:tcPr>
            <w:tcW w:w="1104" w:type="dxa"/>
            <w:noWrap w:val="0"/>
            <w:vAlign w:val="center"/>
          </w:tcPr>
          <w:p>
            <w:pPr>
              <w:pStyle w:val="18"/>
            </w:pPr>
            <w:r>
              <w:t>社会效益指标</w:t>
            </w:r>
          </w:p>
        </w:tc>
        <w:tc>
          <w:tcPr>
            <w:tcW w:w="3109" w:type="dxa"/>
            <w:noWrap w:val="0"/>
            <w:vAlign w:val="center"/>
          </w:tcPr>
          <w:p>
            <w:pPr>
              <w:pStyle w:val="18"/>
            </w:pPr>
            <w:r>
              <w:t>突发事件发生率(%)</w:t>
            </w:r>
          </w:p>
        </w:tc>
        <w:tc>
          <w:tcPr>
            <w:tcW w:w="3764" w:type="dxa"/>
            <w:noWrap w:val="0"/>
            <w:vAlign w:val="center"/>
          </w:tcPr>
          <w:p>
            <w:pPr>
              <w:pStyle w:val="18"/>
            </w:pPr>
            <w:r>
              <w:t>突发事件发生率(%)</w:t>
            </w:r>
          </w:p>
        </w:tc>
        <w:tc>
          <w:tcPr>
            <w:tcW w:w="1691" w:type="dxa"/>
            <w:noWrap w:val="0"/>
            <w:vAlign w:val="center"/>
          </w:tcPr>
          <w:p>
            <w:pPr>
              <w:pStyle w:val="18"/>
            </w:pPr>
            <w:r>
              <w:t>≤5百分比</w:t>
            </w:r>
          </w:p>
        </w:tc>
        <w:tc>
          <w:tcPr>
            <w:tcW w:w="3053" w:type="dxa"/>
            <w:noWrap w:val="0"/>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noWrap w:val="0"/>
            <w:vAlign w:val="center"/>
          </w:tcPr>
          <w:p>
            <w:pPr>
              <w:pStyle w:val="19"/>
            </w:pPr>
            <w:r>
              <w:t>满意度指标</w:t>
            </w:r>
          </w:p>
        </w:tc>
        <w:tc>
          <w:tcPr>
            <w:tcW w:w="1104" w:type="dxa"/>
            <w:noWrap w:val="0"/>
            <w:vAlign w:val="center"/>
          </w:tcPr>
          <w:p>
            <w:pPr>
              <w:pStyle w:val="18"/>
            </w:pPr>
            <w:r>
              <w:t>服务对象满意度指标</w:t>
            </w:r>
          </w:p>
        </w:tc>
        <w:tc>
          <w:tcPr>
            <w:tcW w:w="3109" w:type="dxa"/>
            <w:noWrap w:val="0"/>
            <w:vAlign w:val="center"/>
          </w:tcPr>
          <w:p>
            <w:pPr>
              <w:pStyle w:val="18"/>
            </w:pPr>
            <w:r>
              <w:t>信访群众满意度</w:t>
            </w:r>
          </w:p>
        </w:tc>
        <w:tc>
          <w:tcPr>
            <w:tcW w:w="3764" w:type="dxa"/>
            <w:noWrap w:val="0"/>
            <w:vAlign w:val="center"/>
          </w:tcPr>
          <w:p>
            <w:pPr>
              <w:pStyle w:val="18"/>
            </w:pPr>
            <w:r>
              <w:t>信访群众满意度</w:t>
            </w:r>
          </w:p>
        </w:tc>
        <w:tc>
          <w:tcPr>
            <w:tcW w:w="1691" w:type="dxa"/>
            <w:noWrap w:val="0"/>
            <w:vAlign w:val="center"/>
          </w:tcPr>
          <w:p>
            <w:pPr>
              <w:pStyle w:val="18"/>
            </w:pPr>
            <w:r>
              <w:t>≥90百分比</w:t>
            </w:r>
          </w:p>
        </w:tc>
        <w:tc>
          <w:tcPr>
            <w:tcW w:w="3053" w:type="dxa"/>
            <w:noWrap w:val="0"/>
            <w:vAlign w:val="center"/>
          </w:tcPr>
          <w:p>
            <w:pPr>
              <w:pStyle w:val="18"/>
            </w:pPr>
            <w:r>
              <w:t>工作方案</w:t>
            </w:r>
          </w:p>
        </w:tc>
      </w:tr>
    </w:tbl>
    <w:p/>
    <w:p/>
    <w:p/>
    <w:p>
      <w:pPr>
        <w:ind w:firstLine="281" w:firstLineChars="100"/>
        <w:rPr>
          <w:rFonts w:hint="eastAsia"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8</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小型修缮经费（年初）绩效目标表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rPr>
                <w:rFonts w:hint="eastAsia"/>
              </w:rPr>
              <w:t>为加强节约型机关建设，改善乡镇干部职工办公条件，保障干部职工及广大人民群众生命财产安全，提供安全、必要的办公条件</w:t>
            </w:r>
          </w:p>
        </w:tc>
      </w:tr>
    </w:tbl>
    <w:tbl>
      <w:tblPr>
        <w:tblStyle w:val="9"/>
        <w:tblpPr w:leftFromText="180" w:rightFromText="180" w:vertAnchor="text" w:horzAnchor="page" w:tblpX="1453" w:tblpY="2"/>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5"/>
        <w:gridCol w:w="1127"/>
        <w:gridCol w:w="2569"/>
        <w:gridCol w:w="4309"/>
        <w:gridCol w:w="2059"/>
        <w:gridCol w:w="26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tblHeader/>
        </w:trPr>
        <w:tc>
          <w:tcPr>
            <w:tcW w:w="1425" w:type="dxa"/>
            <w:noWrap w:val="0"/>
            <w:vAlign w:val="center"/>
          </w:tcPr>
          <w:p>
            <w:pPr>
              <w:pStyle w:val="16"/>
            </w:pPr>
            <w:r>
              <w:t>一级指标</w:t>
            </w:r>
          </w:p>
        </w:tc>
        <w:tc>
          <w:tcPr>
            <w:tcW w:w="1127" w:type="dxa"/>
            <w:noWrap w:val="0"/>
            <w:vAlign w:val="center"/>
          </w:tcPr>
          <w:p>
            <w:pPr>
              <w:pStyle w:val="16"/>
            </w:pPr>
            <w:r>
              <w:t>二级指标</w:t>
            </w:r>
          </w:p>
        </w:tc>
        <w:tc>
          <w:tcPr>
            <w:tcW w:w="2569" w:type="dxa"/>
            <w:noWrap w:val="0"/>
            <w:vAlign w:val="center"/>
          </w:tcPr>
          <w:p>
            <w:pPr>
              <w:pStyle w:val="16"/>
            </w:pPr>
            <w:r>
              <w:t>三级指标</w:t>
            </w:r>
          </w:p>
        </w:tc>
        <w:tc>
          <w:tcPr>
            <w:tcW w:w="4309" w:type="dxa"/>
            <w:noWrap w:val="0"/>
            <w:vAlign w:val="center"/>
          </w:tcPr>
          <w:p>
            <w:pPr>
              <w:pStyle w:val="16"/>
            </w:pPr>
            <w:r>
              <w:t>绩效指标描述</w:t>
            </w:r>
          </w:p>
        </w:tc>
        <w:tc>
          <w:tcPr>
            <w:tcW w:w="2059" w:type="dxa"/>
            <w:noWrap w:val="0"/>
            <w:vAlign w:val="center"/>
          </w:tcPr>
          <w:p>
            <w:pPr>
              <w:pStyle w:val="16"/>
            </w:pPr>
            <w:r>
              <w:t>指标值</w:t>
            </w:r>
          </w:p>
        </w:tc>
        <w:tc>
          <w:tcPr>
            <w:tcW w:w="268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restart"/>
            <w:noWrap w:val="0"/>
            <w:vAlign w:val="center"/>
          </w:tcPr>
          <w:p>
            <w:pPr>
              <w:pStyle w:val="19"/>
            </w:pPr>
            <w:r>
              <w:t>产出指标</w:t>
            </w:r>
          </w:p>
        </w:tc>
        <w:tc>
          <w:tcPr>
            <w:tcW w:w="1127" w:type="dxa"/>
            <w:noWrap w:val="0"/>
            <w:vAlign w:val="center"/>
          </w:tcPr>
          <w:p>
            <w:pPr>
              <w:pStyle w:val="18"/>
            </w:pPr>
            <w:r>
              <w:t>数量指标</w:t>
            </w:r>
          </w:p>
        </w:tc>
        <w:tc>
          <w:tcPr>
            <w:tcW w:w="2569" w:type="dxa"/>
            <w:noWrap w:val="0"/>
            <w:vAlign w:val="center"/>
          </w:tcPr>
          <w:p>
            <w:pPr>
              <w:pStyle w:val="18"/>
            </w:pPr>
            <w:r>
              <w:t>修缮项目验收合格率</w:t>
            </w:r>
          </w:p>
        </w:tc>
        <w:tc>
          <w:tcPr>
            <w:tcW w:w="4309" w:type="dxa"/>
            <w:noWrap w:val="0"/>
            <w:vAlign w:val="center"/>
          </w:tcPr>
          <w:p>
            <w:pPr>
              <w:pStyle w:val="18"/>
            </w:pPr>
            <w:r>
              <w:t>通过验收的工程量占建设、改造、修缮总量的比率</w:t>
            </w:r>
          </w:p>
        </w:tc>
        <w:tc>
          <w:tcPr>
            <w:tcW w:w="2059" w:type="dxa"/>
            <w:noWrap w:val="0"/>
            <w:vAlign w:val="center"/>
          </w:tcPr>
          <w:p>
            <w:pPr>
              <w:pStyle w:val="18"/>
            </w:pPr>
            <w:r>
              <w:t>≥90百分比</w:t>
            </w:r>
          </w:p>
        </w:tc>
        <w:tc>
          <w:tcPr>
            <w:tcW w:w="2686"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continue"/>
            <w:noWrap w:val="0"/>
            <w:vAlign w:val="center"/>
          </w:tcPr>
          <w:p/>
        </w:tc>
        <w:tc>
          <w:tcPr>
            <w:tcW w:w="1127" w:type="dxa"/>
            <w:noWrap w:val="0"/>
            <w:vAlign w:val="center"/>
          </w:tcPr>
          <w:p>
            <w:pPr>
              <w:pStyle w:val="18"/>
            </w:pPr>
            <w:r>
              <w:t>质量指标</w:t>
            </w:r>
          </w:p>
        </w:tc>
        <w:tc>
          <w:tcPr>
            <w:tcW w:w="2569" w:type="dxa"/>
            <w:noWrap w:val="0"/>
            <w:vAlign w:val="center"/>
          </w:tcPr>
          <w:p>
            <w:pPr>
              <w:pStyle w:val="18"/>
            </w:pPr>
            <w:r>
              <w:t>修缮项目完成率</w:t>
            </w:r>
          </w:p>
        </w:tc>
        <w:tc>
          <w:tcPr>
            <w:tcW w:w="4309" w:type="dxa"/>
            <w:noWrap w:val="0"/>
            <w:vAlign w:val="center"/>
          </w:tcPr>
          <w:p>
            <w:pPr>
              <w:pStyle w:val="18"/>
            </w:pPr>
            <w:r>
              <w:t>实际完成工程量占计划完成工程量的比率</w:t>
            </w:r>
          </w:p>
        </w:tc>
        <w:tc>
          <w:tcPr>
            <w:tcW w:w="2059" w:type="dxa"/>
            <w:noWrap w:val="0"/>
            <w:vAlign w:val="center"/>
          </w:tcPr>
          <w:p>
            <w:pPr>
              <w:pStyle w:val="18"/>
            </w:pPr>
            <w:r>
              <w:t>≥90百分比</w:t>
            </w:r>
          </w:p>
        </w:tc>
        <w:tc>
          <w:tcPr>
            <w:tcW w:w="2686"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continue"/>
            <w:noWrap w:val="0"/>
            <w:vAlign w:val="center"/>
          </w:tcPr>
          <w:p/>
        </w:tc>
        <w:tc>
          <w:tcPr>
            <w:tcW w:w="1127" w:type="dxa"/>
            <w:noWrap w:val="0"/>
            <w:vAlign w:val="center"/>
          </w:tcPr>
          <w:p>
            <w:pPr>
              <w:pStyle w:val="18"/>
            </w:pPr>
            <w:r>
              <w:t>时效指标</w:t>
            </w:r>
          </w:p>
        </w:tc>
        <w:tc>
          <w:tcPr>
            <w:tcW w:w="2569" w:type="dxa"/>
            <w:noWrap w:val="0"/>
            <w:vAlign w:val="center"/>
          </w:tcPr>
          <w:p>
            <w:pPr>
              <w:pStyle w:val="18"/>
            </w:pPr>
            <w:r>
              <w:t>年度项目完成情况</w:t>
            </w:r>
          </w:p>
        </w:tc>
        <w:tc>
          <w:tcPr>
            <w:tcW w:w="4309" w:type="dxa"/>
            <w:noWrap w:val="0"/>
            <w:vAlign w:val="center"/>
          </w:tcPr>
          <w:p>
            <w:pPr>
              <w:pStyle w:val="18"/>
            </w:pPr>
            <w:r>
              <w:t>年度项目按规定时间点完成</w:t>
            </w:r>
          </w:p>
        </w:tc>
        <w:tc>
          <w:tcPr>
            <w:tcW w:w="2059" w:type="dxa"/>
            <w:noWrap w:val="0"/>
            <w:vAlign w:val="center"/>
          </w:tcPr>
          <w:p>
            <w:pPr>
              <w:pStyle w:val="18"/>
            </w:pPr>
            <w:r>
              <w:t>≥90百分比</w:t>
            </w:r>
          </w:p>
        </w:tc>
        <w:tc>
          <w:tcPr>
            <w:tcW w:w="2686"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continue"/>
            <w:noWrap w:val="0"/>
            <w:vAlign w:val="center"/>
          </w:tcPr>
          <w:p/>
        </w:tc>
        <w:tc>
          <w:tcPr>
            <w:tcW w:w="1127" w:type="dxa"/>
            <w:noWrap w:val="0"/>
            <w:vAlign w:val="center"/>
          </w:tcPr>
          <w:p>
            <w:pPr>
              <w:pStyle w:val="18"/>
            </w:pPr>
            <w:r>
              <w:t>成本指标</w:t>
            </w:r>
          </w:p>
        </w:tc>
        <w:tc>
          <w:tcPr>
            <w:tcW w:w="2569" w:type="dxa"/>
            <w:noWrap w:val="0"/>
            <w:vAlign w:val="center"/>
          </w:tcPr>
          <w:p>
            <w:pPr>
              <w:pStyle w:val="18"/>
            </w:pPr>
            <w:r>
              <w:t>经费控制数</w:t>
            </w:r>
          </w:p>
        </w:tc>
        <w:tc>
          <w:tcPr>
            <w:tcW w:w="4309" w:type="dxa"/>
            <w:noWrap w:val="0"/>
            <w:vAlign w:val="center"/>
          </w:tcPr>
          <w:p>
            <w:pPr>
              <w:pStyle w:val="18"/>
            </w:pPr>
            <w:r>
              <w:t>经费控制数</w:t>
            </w:r>
          </w:p>
        </w:tc>
        <w:tc>
          <w:tcPr>
            <w:tcW w:w="2059" w:type="dxa"/>
            <w:noWrap w:val="0"/>
            <w:vAlign w:val="center"/>
          </w:tcPr>
          <w:p>
            <w:pPr>
              <w:pStyle w:val="18"/>
            </w:pPr>
            <w:r>
              <w:t>≤3.53万元</w:t>
            </w:r>
          </w:p>
        </w:tc>
        <w:tc>
          <w:tcPr>
            <w:tcW w:w="2686"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noWrap w:val="0"/>
            <w:vAlign w:val="center"/>
          </w:tcPr>
          <w:p>
            <w:pPr>
              <w:pStyle w:val="19"/>
            </w:pPr>
            <w:r>
              <w:t>效益指标</w:t>
            </w:r>
          </w:p>
        </w:tc>
        <w:tc>
          <w:tcPr>
            <w:tcW w:w="1127" w:type="dxa"/>
            <w:noWrap w:val="0"/>
            <w:vAlign w:val="center"/>
          </w:tcPr>
          <w:p>
            <w:pPr>
              <w:pStyle w:val="18"/>
            </w:pPr>
            <w:r>
              <w:t>社会效益指标</w:t>
            </w:r>
          </w:p>
        </w:tc>
        <w:tc>
          <w:tcPr>
            <w:tcW w:w="2569" w:type="dxa"/>
            <w:noWrap w:val="0"/>
            <w:vAlign w:val="center"/>
          </w:tcPr>
          <w:p>
            <w:pPr>
              <w:pStyle w:val="18"/>
            </w:pPr>
            <w:r>
              <w:t>办公设施的改善成效</w:t>
            </w:r>
          </w:p>
        </w:tc>
        <w:tc>
          <w:tcPr>
            <w:tcW w:w="4309" w:type="dxa"/>
            <w:noWrap w:val="0"/>
            <w:vAlign w:val="center"/>
          </w:tcPr>
          <w:p>
            <w:pPr>
              <w:pStyle w:val="18"/>
            </w:pPr>
            <w:r>
              <w:t>反映修缮后办公设施改善情况</w:t>
            </w:r>
          </w:p>
        </w:tc>
        <w:tc>
          <w:tcPr>
            <w:tcW w:w="2059" w:type="dxa"/>
            <w:noWrap w:val="0"/>
            <w:vAlign w:val="center"/>
          </w:tcPr>
          <w:p>
            <w:pPr>
              <w:pStyle w:val="18"/>
            </w:pPr>
            <w:r>
              <w:t>≥90百分比</w:t>
            </w:r>
          </w:p>
        </w:tc>
        <w:tc>
          <w:tcPr>
            <w:tcW w:w="2686"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noWrap w:val="0"/>
            <w:vAlign w:val="center"/>
          </w:tcPr>
          <w:p>
            <w:pPr>
              <w:pStyle w:val="19"/>
            </w:pPr>
            <w:r>
              <w:t>满意度指标</w:t>
            </w:r>
          </w:p>
        </w:tc>
        <w:tc>
          <w:tcPr>
            <w:tcW w:w="1127" w:type="dxa"/>
            <w:noWrap w:val="0"/>
            <w:vAlign w:val="center"/>
          </w:tcPr>
          <w:p>
            <w:pPr>
              <w:pStyle w:val="18"/>
            </w:pPr>
            <w:r>
              <w:t>服务对象满意度指标</w:t>
            </w:r>
          </w:p>
        </w:tc>
        <w:tc>
          <w:tcPr>
            <w:tcW w:w="2569" w:type="dxa"/>
            <w:noWrap w:val="0"/>
            <w:vAlign w:val="center"/>
          </w:tcPr>
          <w:p>
            <w:pPr>
              <w:pStyle w:val="18"/>
            </w:pPr>
            <w:r>
              <w:t>服务对象满意度</w:t>
            </w:r>
          </w:p>
        </w:tc>
        <w:tc>
          <w:tcPr>
            <w:tcW w:w="4309" w:type="dxa"/>
            <w:noWrap w:val="0"/>
            <w:vAlign w:val="center"/>
          </w:tcPr>
          <w:p>
            <w:pPr>
              <w:pStyle w:val="18"/>
            </w:pPr>
            <w:r>
              <w:t>服务对象满意度</w:t>
            </w:r>
          </w:p>
        </w:tc>
        <w:tc>
          <w:tcPr>
            <w:tcW w:w="2059" w:type="dxa"/>
            <w:noWrap w:val="0"/>
            <w:vAlign w:val="center"/>
          </w:tcPr>
          <w:p>
            <w:pPr>
              <w:pStyle w:val="18"/>
            </w:pPr>
            <w:r>
              <w:t>≥90百分比</w:t>
            </w:r>
          </w:p>
        </w:tc>
        <w:tc>
          <w:tcPr>
            <w:tcW w:w="2686" w:type="dxa"/>
            <w:noWrap w:val="0"/>
            <w:vAlign w:val="center"/>
          </w:tcPr>
          <w:p>
            <w:pPr>
              <w:pStyle w:val="18"/>
            </w:pPr>
            <w:r>
              <w:t>依据工作方案</w:t>
            </w:r>
          </w:p>
        </w:tc>
      </w:tr>
    </w:tbl>
    <w:p>
      <w:pPr>
        <w:sectPr>
          <w:type w:val="continuous"/>
          <w:pgSz w:w="16840" w:h="11900" w:orient="landscape"/>
          <w:pgMar w:top="1361" w:right="1021" w:bottom="1134" w:left="1021" w:header="720" w:footer="720" w:gutter="0"/>
          <w:cols w:space="720" w:num="1"/>
        </w:sectPr>
      </w:pPr>
    </w:p>
    <w:p>
      <w:pPr>
        <w:spacing w:before="10" w:after="10"/>
        <w:ind w:firstLine="640"/>
        <w:outlineLvl w:val="5"/>
        <w:rPr>
          <w:rFonts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rPr>
          <w:rFonts w:hint="eastAsia" w:eastAsia="方正仿宋_GBK"/>
          <w:lang w:eastAsia="zh-CN"/>
        </w:rPr>
      </w:pPr>
      <w:r>
        <w:rPr>
          <w:rFonts w:eastAsia="方正仿宋_GBK"/>
          <w:color w:val="000000"/>
          <w:sz w:val="28"/>
        </w:rPr>
        <w:t>2022年，</w:t>
      </w:r>
      <w:r>
        <w:rPr>
          <w:rFonts w:hint="eastAsia" w:eastAsia="方正仿宋_GBK"/>
          <w:color w:val="000000"/>
          <w:sz w:val="28"/>
          <w:lang w:eastAsia="zh-CN"/>
        </w:rPr>
        <w:t>涞水县胡家庄乡人民政府本级无政府采购预算安排。</w:t>
      </w:r>
    </w:p>
    <w:p>
      <w:pPr>
        <w:jc w:val="both"/>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部门政府采购预算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1"/>
        <w:gridCol w:w="874"/>
        <w:gridCol w:w="1027"/>
        <w:gridCol w:w="1027"/>
        <w:gridCol w:w="641"/>
        <w:gridCol w:w="769"/>
        <w:gridCol w:w="776"/>
        <w:gridCol w:w="873"/>
        <w:gridCol w:w="873"/>
        <w:gridCol w:w="873"/>
        <w:gridCol w:w="873"/>
        <w:gridCol w:w="873"/>
        <w:gridCol w:w="873"/>
        <w:gridCol w:w="873"/>
        <w:gridCol w:w="879"/>
        <w:gridCol w:w="8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3" w:hRule="atLeast"/>
          <w:tblHeader/>
          <w:jc w:val="center"/>
        </w:trPr>
        <w:tc>
          <w:tcPr>
            <w:tcW w:w="6655" w:type="dxa"/>
            <w:gridSpan w:val="7"/>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809涞水县胡家庄乡人民政府本级</w:t>
            </w:r>
          </w:p>
        </w:tc>
        <w:tc>
          <w:tcPr>
            <w:tcW w:w="7864" w:type="dxa"/>
            <w:gridSpan w:val="9"/>
            <w:tcBorders>
              <w:top w:val="single" w:color="FFFFFF" w:sz="6" w:space="0"/>
              <w:left w:val="single" w:color="FFFFFF" w:sz="6" w:space="0"/>
              <w:right w:val="single" w:color="FFFFFF" w:sz="6" w:space="0"/>
            </w:tcBorders>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6" w:hRule="atLeast"/>
          <w:tblHeader/>
          <w:jc w:val="center"/>
        </w:trPr>
        <w:tc>
          <w:tcPr>
            <w:tcW w:w="2415" w:type="dxa"/>
            <w:gridSpan w:val="2"/>
            <w:vAlign w:val="center"/>
          </w:tcPr>
          <w:p>
            <w:pPr>
              <w:pStyle w:val="16"/>
            </w:pPr>
            <w:r>
              <w:t>政府采购项目来源</w:t>
            </w:r>
          </w:p>
        </w:tc>
        <w:tc>
          <w:tcPr>
            <w:tcW w:w="1027" w:type="dxa"/>
            <w:vMerge w:val="restart"/>
            <w:vAlign w:val="center"/>
          </w:tcPr>
          <w:p>
            <w:pPr>
              <w:pStyle w:val="16"/>
            </w:pPr>
            <w:r>
              <w:t>采购物品名称</w:t>
            </w:r>
          </w:p>
        </w:tc>
        <w:tc>
          <w:tcPr>
            <w:tcW w:w="1027" w:type="dxa"/>
            <w:vMerge w:val="restart"/>
            <w:vAlign w:val="center"/>
          </w:tcPr>
          <w:p>
            <w:pPr>
              <w:pStyle w:val="16"/>
            </w:pPr>
            <w:r>
              <w:t>政府采购目录序号</w:t>
            </w:r>
          </w:p>
        </w:tc>
        <w:tc>
          <w:tcPr>
            <w:tcW w:w="641" w:type="dxa"/>
            <w:vMerge w:val="restart"/>
            <w:vAlign w:val="center"/>
          </w:tcPr>
          <w:p>
            <w:pPr>
              <w:pStyle w:val="16"/>
            </w:pPr>
            <w:r>
              <w:t>计量  单位</w:t>
            </w:r>
          </w:p>
        </w:tc>
        <w:tc>
          <w:tcPr>
            <w:tcW w:w="769" w:type="dxa"/>
            <w:vMerge w:val="restart"/>
            <w:vAlign w:val="center"/>
          </w:tcPr>
          <w:p>
            <w:pPr>
              <w:pStyle w:val="16"/>
            </w:pPr>
            <w:r>
              <w:t>数量</w:t>
            </w:r>
          </w:p>
        </w:tc>
        <w:tc>
          <w:tcPr>
            <w:tcW w:w="776" w:type="dxa"/>
            <w:vMerge w:val="restart"/>
            <w:vAlign w:val="center"/>
          </w:tcPr>
          <w:p>
            <w:pPr>
              <w:pStyle w:val="16"/>
            </w:pPr>
            <w:r>
              <w:t>单价</w:t>
            </w:r>
          </w:p>
        </w:tc>
        <w:tc>
          <w:tcPr>
            <w:tcW w:w="6990" w:type="dxa"/>
            <w:gridSpan w:val="8"/>
            <w:vAlign w:val="center"/>
          </w:tcPr>
          <w:p>
            <w:pPr>
              <w:pStyle w:val="16"/>
            </w:pPr>
            <w:r>
              <w:t>政府采购金额（当年部门预算安排资金）</w:t>
            </w:r>
          </w:p>
        </w:tc>
        <w:tc>
          <w:tcPr>
            <w:tcW w:w="874" w:type="dxa"/>
            <w:vMerge w:val="restart"/>
            <w:vAlign w:val="center"/>
          </w:tcPr>
          <w:p>
            <w:pPr>
              <w:pStyle w:val="16"/>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92" w:hRule="atLeast"/>
          <w:tblHeader/>
          <w:jc w:val="center"/>
        </w:trPr>
        <w:tc>
          <w:tcPr>
            <w:tcW w:w="1541" w:type="dxa"/>
            <w:vAlign w:val="center"/>
          </w:tcPr>
          <w:p>
            <w:pPr>
              <w:pStyle w:val="16"/>
            </w:pPr>
            <w:r>
              <w:t>项目名称</w:t>
            </w:r>
          </w:p>
        </w:tc>
        <w:tc>
          <w:tcPr>
            <w:tcW w:w="874" w:type="dxa"/>
            <w:vAlign w:val="center"/>
          </w:tcPr>
          <w:p>
            <w:pPr>
              <w:pStyle w:val="16"/>
            </w:pPr>
            <w:r>
              <w:t>预算    资金</w:t>
            </w:r>
          </w:p>
        </w:tc>
        <w:tc>
          <w:tcPr>
            <w:tcW w:w="1027" w:type="dxa"/>
            <w:vMerge w:val="continue"/>
          </w:tcPr>
          <w:p/>
        </w:tc>
        <w:tc>
          <w:tcPr>
            <w:tcW w:w="1027" w:type="dxa"/>
            <w:vMerge w:val="continue"/>
          </w:tcPr>
          <w:p/>
        </w:tc>
        <w:tc>
          <w:tcPr>
            <w:tcW w:w="641" w:type="dxa"/>
            <w:vMerge w:val="continue"/>
          </w:tcPr>
          <w:p/>
        </w:tc>
        <w:tc>
          <w:tcPr>
            <w:tcW w:w="769" w:type="dxa"/>
            <w:vMerge w:val="continue"/>
          </w:tcPr>
          <w:p/>
        </w:tc>
        <w:tc>
          <w:tcPr>
            <w:tcW w:w="776" w:type="dxa"/>
            <w:vMerge w:val="continue"/>
          </w:tcPr>
          <w:p/>
        </w:tc>
        <w:tc>
          <w:tcPr>
            <w:tcW w:w="873" w:type="dxa"/>
            <w:vAlign w:val="center"/>
          </w:tcPr>
          <w:p>
            <w:pPr>
              <w:pStyle w:val="16"/>
            </w:pPr>
            <w:r>
              <w:t>合计</w:t>
            </w:r>
          </w:p>
        </w:tc>
        <w:tc>
          <w:tcPr>
            <w:tcW w:w="873" w:type="dxa"/>
            <w:vAlign w:val="center"/>
          </w:tcPr>
          <w:p>
            <w:pPr>
              <w:pStyle w:val="16"/>
            </w:pPr>
            <w:r>
              <w:t>一般公共预算拨款</w:t>
            </w:r>
          </w:p>
        </w:tc>
        <w:tc>
          <w:tcPr>
            <w:tcW w:w="873" w:type="dxa"/>
            <w:vAlign w:val="center"/>
          </w:tcPr>
          <w:p>
            <w:pPr>
              <w:pStyle w:val="16"/>
            </w:pPr>
            <w:r>
              <w:t>基金预算拨款</w:t>
            </w:r>
          </w:p>
        </w:tc>
        <w:tc>
          <w:tcPr>
            <w:tcW w:w="873" w:type="dxa"/>
            <w:vAlign w:val="center"/>
          </w:tcPr>
          <w:p>
            <w:pPr>
              <w:pStyle w:val="16"/>
            </w:pPr>
            <w:r>
              <w:t>国有资本经营预算拨款</w:t>
            </w:r>
          </w:p>
        </w:tc>
        <w:tc>
          <w:tcPr>
            <w:tcW w:w="873" w:type="dxa"/>
            <w:vAlign w:val="center"/>
          </w:tcPr>
          <w:p>
            <w:pPr>
              <w:pStyle w:val="16"/>
            </w:pPr>
            <w:r>
              <w:t>财政专户核拨</w:t>
            </w:r>
          </w:p>
        </w:tc>
        <w:tc>
          <w:tcPr>
            <w:tcW w:w="873" w:type="dxa"/>
            <w:vAlign w:val="center"/>
          </w:tcPr>
          <w:p>
            <w:pPr>
              <w:pStyle w:val="16"/>
            </w:pPr>
            <w:r>
              <w:t>单位    资金</w:t>
            </w:r>
          </w:p>
        </w:tc>
        <w:tc>
          <w:tcPr>
            <w:tcW w:w="873" w:type="dxa"/>
            <w:vAlign w:val="center"/>
          </w:tcPr>
          <w:p>
            <w:pPr>
              <w:pStyle w:val="16"/>
            </w:pPr>
            <w:r>
              <w:t>财政拨    款结转</w:t>
            </w:r>
          </w:p>
        </w:tc>
        <w:tc>
          <w:tcPr>
            <w:tcW w:w="879" w:type="dxa"/>
            <w:vAlign w:val="center"/>
          </w:tcPr>
          <w:p>
            <w:pPr>
              <w:pStyle w:val="16"/>
            </w:pPr>
            <w:r>
              <w:t>非财政    拨款结    转结余</w:t>
            </w:r>
          </w:p>
        </w:tc>
        <w:tc>
          <w:tcPr>
            <w:tcW w:w="87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6" w:hRule="atLeast"/>
          <w:jc w:val="center"/>
        </w:trPr>
        <w:tc>
          <w:tcPr>
            <w:tcW w:w="1541" w:type="dxa"/>
            <w:vAlign w:val="center"/>
          </w:tcPr>
          <w:p>
            <w:pPr>
              <w:pStyle w:val="20"/>
            </w:pPr>
          </w:p>
        </w:tc>
        <w:tc>
          <w:tcPr>
            <w:tcW w:w="874" w:type="dxa"/>
            <w:vAlign w:val="center"/>
          </w:tcPr>
          <w:p>
            <w:pPr>
              <w:pStyle w:val="21"/>
            </w:pPr>
          </w:p>
        </w:tc>
        <w:tc>
          <w:tcPr>
            <w:tcW w:w="1027" w:type="dxa"/>
            <w:vAlign w:val="center"/>
          </w:tcPr>
          <w:p>
            <w:pPr>
              <w:pStyle w:val="22"/>
            </w:pPr>
          </w:p>
        </w:tc>
        <w:tc>
          <w:tcPr>
            <w:tcW w:w="1027" w:type="dxa"/>
            <w:vAlign w:val="center"/>
          </w:tcPr>
          <w:p>
            <w:pPr>
              <w:pStyle w:val="22"/>
            </w:pPr>
          </w:p>
        </w:tc>
        <w:tc>
          <w:tcPr>
            <w:tcW w:w="641" w:type="dxa"/>
            <w:vAlign w:val="center"/>
          </w:tcPr>
          <w:p>
            <w:pPr>
              <w:pStyle w:val="20"/>
            </w:pPr>
          </w:p>
        </w:tc>
        <w:tc>
          <w:tcPr>
            <w:tcW w:w="769" w:type="dxa"/>
            <w:vAlign w:val="center"/>
          </w:tcPr>
          <w:p>
            <w:pPr>
              <w:pStyle w:val="21"/>
            </w:pPr>
          </w:p>
        </w:tc>
        <w:tc>
          <w:tcPr>
            <w:tcW w:w="776" w:type="dxa"/>
            <w:vAlign w:val="center"/>
          </w:tcPr>
          <w:p>
            <w:pPr>
              <w:pStyle w:val="21"/>
            </w:pPr>
          </w:p>
        </w:tc>
        <w:tc>
          <w:tcPr>
            <w:tcW w:w="873" w:type="dxa"/>
            <w:vAlign w:val="center"/>
          </w:tcPr>
          <w:p>
            <w:pPr>
              <w:pStyle w:val="21"/>
            </w:pPr>
          </w:p>
        </w:tc>
        <w:tc>
          <w:tcPr>
            <w:tcW w:w="873" w:type="dxa"/>
            <w:vAlign w:val="center"/>
          </w:tcPr>
          <w:p>
            <w:pPr>
              <w:pStyle w:val="21"/>
            </w:pPr>
          </w:p>
        </w:tc>
        <w:tc>
          <w:tcPr>
            <w:tcW w:w="873" w:type="dxa"/>
            <w:vAlign w:val="center"/>
          </w:tcPr>
          <w:p>
            <w:pPr>
              <w:pStyle w:val="21"/>
            </w:pPr>
          </w:p>
        </w:tc>
        <w:tc>
          <w:tcPr>
            <w:tcW w:w="873" w:type="dxa"/>
            <w:vAlign w:val="center"/>
          </w:tcPr>
          <w:p>
            <w:pPr>
              <w:pStyle w:val="21"/>
            </w:pPr>
          </w:p>
        </w:tc>
        <w:tc>
          <w:tcPr>
            <w:tcW w:w="873" w:type="dxa"/>
            <w:vAlign w:val="center"/>
          </w:tcPr>
          <w:p>
            <w:pPr>
              <w:pStyle w:val="21"/>
            </w:pPr>
          </w:p>
        </w:tc>
        <w:tc>
          <w:tcPr>
            <w:tcW w:w="873" w:type="dxa"/>
            <w:vAlign w:val="center"/>
          </w:tcPr>
          <w:p>
            <w:pPr>
              <w:pStyle w:val="21"/>
            </w:pPr>
          </w:p>
        </w:tc>
        <w:tc>
          <w:tcPr>
            <w:tcW w:w="873" w:type="dxa"/>
            <w:vAlign w:val="center"/>
          </w:tcPr>
          <w:p>
            <w:pPr>
              <w:pStyle w:val="21"/>
            </w:pPr>
          </w:p>
        </w:tc>
        <w:tc>
          <w:tcPr>
            <w:tcW w:w="879" w:type="dxa"/>
            <w:vAlign w:val="center"/>
          </w:tcPr>
          <w:p>
            <w:pPr>
              <w:pStyle w:val="21"/>
            </w:pPr>
          </w:p>
        </w:tc>
        <w:tc>
          <w:tcPr>
            <w:tcW w:w="8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6" w:hRule="atLeast"/>
          <w:jc w:val="center"/>
        </w:trPr>
        <w:tc>
          <w:tcPr>
            <w:tcW w:w="1541" w:type="dxa"/>
            <w:vAlign w:val="center"/>
          </w:tcPr>
          <w:p>
            <w:pPr>
              <w:pStyle w:val="20"/>
            </w:pPr>
          </w:p>
        </w:tc>
        <w:tc>
          <w:tcPr>
            <w:tcW w:w="874" w:type="dxa"/>
            <w:vAlign w:val="center"/>
          </w:tcPr>
          <w:p>
            <w:pPr>
              <w:pStyle w:val="21"/>
            </w:pPr>
          </w:p>
        </w:tc>
        <w:tc>
          <w:tcPr>
            <w:tcW w:w="1027" w:type="dxa"/>
            <w:vAlign w:val="center"/>
          </w:tcPr>
          <w:p>
            <w:pPr>
              <w:pStyle w:val="22"/>
            </w:pPr>
          </w:p>
        </w:tc>
        <w:tc>
          <w:tcPr>
            <w:tcW w:w="1027" w:type="dxa"/>
            <w:vAlign w:val="center"/>
          </w:tcPr>
          <w:p>
            <w:pPr>
              <w:pStyle w:val="22"/>
            </w:pPr>
          </w:p>
        </w:tc>
        <w:tc>
          <w:tcPr>
            <w:tcW w:w="641" w:type="dxa"/>
            <w:vAlign w:val="center"/>
          </w:tcPr>
          <w:p>
            <w:pPr>
              <w:pStyle w:val="20"/>
            </w:pPr>
          </w:p>
        </w:tc>
        <w:tc>
          <w:tcPr>
            <w:tcW w:w="769" w:type="dxa"/>
            <w:vAlign w:val="center"/>
          </w:tcPr>
          <w:p>
            <w:pPr>
              <w:pStyle w:val="21"/>
            </w:pPr>
          </w:p>
        </w:tc>
        <w:tc>
          <w:tcPr>
            <w:tcW w:w="776" w:type="dxa"/>
            <w:vAlign w:val="center"/>
          </w:tcPr>
          <w:p>
            <w:pPr>
              <w:pStyle w:val="21"/>
            </w:pPr>
          </w:p>
        </w:tc>
        <w:tc>
          <w:tcPr>
            <w:tcW w:w="873" w:type="dxa"/>
            <w:vAlign w:val="center"/>
          </w:tcPr>
          <w:p>
            <w:pPr>
              <w:pStyle w:val="21"/>
            </w:pPr>
          </w:p>
        </w:tc>
        <w:tc>
          <w:tcPr>
            <w:tcW w:w="873" w:type="dxa"/>
            <w:vAlign w:val="center"/>
          </w:tcPr>
          <w:p>
            <w:pPr>
              <w:pStyle w:val="21"/>
            </w:pPr>
          </w:p>
        </w:tc>
        <w:tc>
          <w:tcPr>
            <w:tcW w:w="873" w:type="dxa"/>
            <w:vAlign w:val="center"/>
          </w:tcPr>
          <w:p>
            <w:pPr>
              <w:pStyle w:val="21"/>
            </w:pPr>
          </w:p>
        </w:tc>
        <w:tc>
          <w:tcPr>
            <w:tcW w:w="873" w:type="dxa"/>
            <w:vAlign w:val="center"/>
          </w:tcPr>
          <w:p>
            <w:pPr>
              <w:pStyle w:val="21"/>
            </w:pPr>
          </w:p>
        </w:tc>
        <w:tc>
          <w:tcPr>
            <w:tcW w:w="873" w:type="dxa"/>
            <w:vAlign w:val="center"/>
          </w:tcPr>
          <w:p>
            <w:pPr>
              <w:pStyle w:val="21"/>
            </w:pPr>
          </w:p>
        </w:tc>
        <w:tc>
          <w:tcPr>
            <w:tcW w:w="873" w:type="dxa"/>
            <w:vAlign w:val="center"/>
          </w:tcPr>
          <w:p>
            <w:pPr>
              <w:pStyle w:val="21"/>
            </w:pPr>
          </w:p>
        </w:tc>
        <w:tc>
          <w:tcPr>
            <w:tcW w:w="873" w:type="dxa"/>
            <w:vAlign w:val="center"/>
          </w:tcPr>
          <w:p>
            <w:pPr>
              <w:pStyle w:val="21"/>
            </w:pPr>
          </w:p>
        </w:tc>
        <w:tc>
          <w:tcPr>
            <w:tcW w:w="879" w:type="dxa"/>
            <w:vAlign w:val="center"/>
          </w:tcPr>
          <w:p>
            <w:pPr>
              <w:pStyle w:val="21"/>
            </w:pPr>
          </w:p>
        </w:tc>
        <w:tc>
          <w:tcPr>
            <w:tcW w:w="8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6" w:hRule="atLeast"/>
          <w:jc w:val="center"/>
        </w:trPr>
        <w:tc>
          <w:tcPr>
            <w:tcW w:w="1541" w:type="dxa"/>
            <w:vAlign w:val="center"/>
          </w:tcPr>
          <w:p>
            <w:pPr>
              <w:pStyle w:val="18"/>
            </w:pPr>
          </w:p>
        </w:tc>
        <w:tc>
          <w:tcPr>
            <w:tcW w:w="874" w:type="dxa"/>
            <w:vAlign w:val="center"/>
          </w:tcPr>
          <w:p>
            <w:pPr>
              <w:pStyle w:val="17"/>
            </w:pPr>
          </w:p>
        </w:tc>
        <w:tc>
          <w:tcPr>
            <w:tcW w:w="1027" w:type="dxa"/>
            <w:vAlign w:val="center"/>
          </w:tcPr>
          <w:p>
            <w:pPr>
              <w:pStyle w:val="18"/>
            </w:pPr>
          </w:p>
        </w:tc>
        <w:tc>
          <w:tcPr>
            <w:tcW w:w="1027" w:type="dxa"/>
            <w:vAlign w:val="center"/>
          </w:tcPr>
          <w:p>
            <w:pPr>
              <w:pStyle w:val="18"/>
            </w:pPr>
          </w:p>
        </w:tc>
        <w:tc>
          <w:tcPr>
            <w:tcW w:w="641" w:type="dxa"/>
            <w:vAlign w:val="center"/>
          </w:tcPr>
          <w:p>
            <w:pPr>
              <w:pStyle w:val="19"/>
            </w:pPr>
          </w:p>
        </w:tc>
        <w:tc>
          <w:tcPr>
            <w:tcW w:w="769" w:type="dxa"/>
            <w:vAlign w:val="center"/>
          </w:tcPr>
          <w:p>
            <w:pPr>
              <w:pStyle w:val="17"/>
            </w:pPr>
          </w:p>
        </w:tc>
        <w:tc>
          <w:tcPr>
            <w:tcW w:w="776" w:type="dxa"/>
            <w:vAlign w:val="center"/>
          </w:tcPr>
          <w:p>
            <w:pPr>
              <w:pStyle w:val="17"/>
            </w:pPr>
          </w:p>
        </w:tc>
        <w:tc>
          <w:tcPr>
            <w:tcW w:w="873" w:type="dxa"/>
            <w:vAlign w:val="center"/>
          </w:tcPr>
          <w:p>
            <w:pPr>
              <w:pStyle w:val="17"/>
            </w:pPr>
          </w:p>
        </w:tc>
        <w:tc>
          <w:tcPr>
            <w:tcW w:w="873" w:type="dxa"/>
            <w:vAlign w:val="center"/>
          </w:tcPr>
          <w:p>
            <w:pPr>
              <w:pStyle w:val="17"/>
            </w:pPr>
          </w:p>
        </w:tc>
        <w:tc>
          <w:tcPr>
            <w:tcW w:w="873" w:type="dxa"/>
            <w:vAlign w:val="center"/>
          </w:tcPr>
          <w:p>
            <w:pPr>
              <w:pStyle w:val="17"/>
            </w:pPr>
          </w:p>
        </w:tc>
        <w:tc>
          <w:tcPr>
            <w:tcW w:w="873" w:type="dxa"/>
            <w:vAlign w:val="center"/>
          </w:tcPr>
          <w:p>
            <w:pPr>
              <w:pStyle w:val="17"/>
            </w:pPr>
          </w:p>
        </w:tc>
        <w:tc>
          <w:tcPr>
            <w:tcW w:w="873" w:type="dxa"/>
            <w:vAlign w:val="center"/>
          </w:tcPr>
          <w:p>
            <w:pPr>
              <w:pStyle w:val="17"/>
            </w:pPr>
          </w:p>
        </w:tc>
        <w:tc>
          <w:tcPr>
            <w:tcW w:w="873" w:type="dxa"/>
            <w:vAlign w:val="center"/>
          </w:tcPr>
          <w:p>
            <w:pPr>
              <w:pStyle w:val="17"/>
            </w:pPr>
          </w:p>
        </w:tc>
        <w:tc>
          <w:tcPr>
            <w:tcW w:w="873" w:type="dxa"/>
            <w:vAlign w:val="center"/>
          </w:tcPr>
          <w:p>
            <w:pPr>
              <w:pStyle w:val="17"/>
            </w:pPr>
          </w:p>
        </w:tc>
        <w:tc>
          <w:tcPr>
            <w:tcW w:w="879" w:type="dxa"/>
            <w:vAlign w:val="center"/>
          </w:tcPr>
          <w:p>
            <w:pPr>
              <w:pStyle w:val="17"/>
            </w:pPr>
          </w:p>
        </w:tc>
        <w:tc>
          <w:tcPr>
            <w:tcW w:w="874" w:type="dxa"/>
            <w:vAlign w:val="center"/>
          </w:tcPr>
          <w:p>
            <w:pPr>
              <w:pStyle w:val="17"/>
            </w:pPr>
          </w:p>
        </w:tc>
      </w:tr>
    </w:tbl>
    <w:p>
      <w:pPr>
        <w:spacing w:line="500" w:lineRule="exact"/>
        <w:ind w:firstLine="420"/>
        <w:rPr>
          <w:rFonts w:hint="eastAsia" w:eastAsia="方正书宋_GBK"/>
          <w:lang w:eastAsia="zh-CN"/>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无政府采购预算，空表列示。</w:t>
      </w: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1"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1"/>
    </w:p>
    <w:p>
      <w:pPr>
        <w:spacing w:line="500" w:lineRule="exact"/>
        <w:ind w:firstLine="560"/>
      </w:pPr>
      <w:r>
        <w:rPr>
          <w:rFonts w:hint="eastAsia" w:eastAsia="方正仿宋_GBK"/>
          <w:color w:val="000000"/>
          <w:sz w:val="28"/>
          <w:lang w:eastAsia="zh-CN"/>
        </w:rPr>
        <w:t>涞水县胡家庄乡人民政府</w:t>
      </w:r>
      <w:r>
        <w:rPr>
          <w:rFonts w:eastAsia="方正仿宋_GBK"/>
          <w:color w:val="000000"/>
          <w:sz w:val="28"/>
        </w:rPr>
        <w:t>（含所属单位）上年末固定资产金额为</w:t>
      </w:r>
      <w:r>
        <w:rPr>
          <w:rFonts w:hint="eastAsia" w:eastAsia="方正仿宋_GBK"/>
          <w:color w:val="000000"/>
          <w:sz w:val="28"/>
          <w:lang w:val="en-US" w:eastAsia="zh-CN"/>
        </w:rPr>
        <w:t>98.48</w:t>
      </w:r>
      <w:r>
        <w:rPr>
          <w:rFonts w:eastAsia="方正仿宋_GBK"/>
          <w:color w:val="000000"/>
          <w:sz w:val="28"/>
        </w:rPr>
        <w:t>万元（详见下表）。本年度</w:t>
      </w:r>
      <w:r>
        <w:rPr>
          <w:rFonts w:hint="eastAsia" w:eastAsia="方正仿宋_GBK"/>
          <w:color w:val="000000"/>
          <w:sz w:val="28"/>
          <w:lang w:eastAsia="zh-CN"/>
        </w:rPr>
        <w:t>无固定资产购置计划。</w:t>
      </w: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spacing w:line="500" w:lineRule="exact"/>
        <w:ind w:firstLine="1050" w:firstLineChars="500"/>
        <w:rPr>
          <w:rFonts w:hint="default" w:eastAsia="方正仿宋_GBK"/>
          <w:color w:val="000000"/>
          <w:sz w:val="28"/>
          <w:lang w:val="en-US" w:eastAsia="zh-CN"/>
        </w:rPr>
      </w:pPr>
      <w:r>
        <w:rPr>
          <w:rFonts w:hint="eastAsia" w:eastAsia="方正仿宋_GBK"/>
          <w:color w:val="000000"/>
          <w:sz w:val="21"/>
          <w:szCs w:val="21"/>
          <w:lang w:eastAsia="zh-CN"/>
        </w:rPr>
        <w:t>涞水县胡家庄乡人民政府本级</w:t>
      </w:r>
      <w:r>
        <w:rPr>
          <w:rFonts w:hint="eastAsia" w:eastAsia="方正仿宋_GBK"/>
          <w:color w:val="000000"/>
          <w:sz w:val="21"/>
          <w:szCs w:val="21"/>
          <w:lang w:val="en-US" w:eastAsia="zh-CN"/>
        </w:rPr>
        <w:t xml:space="preserve">                                                                                                                                  截止时间：2021-12-31</w:t>
      </w:r>
    </w:p>
    <w:tbl>
      <w:tblPr>
        <w:tblStyle w:val="9"/>
        <w:tblW w:w="0" w:type="auto"/>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6"/>
            </w:pPr>
            <w:r>
              <w:rPr>
                <w:rFonts w:hint="eastAsia"/>
                <w:lang w:val="en-US" w:eastAsia="zh-CN"/>
              </w:rPr>
              <w:t xml:space="preserve">  </w:t>
            </w:r>
            <w:r>
              <w:rPr>
                <w:rFonts w:hint="eastAsia"/>
              </w:rPr>
              <w:t>项  目</w:t>
            </w:r>
          </w:p>
        </w:tc>
        <w:tc>
          <w:tcPr>
            <w:tcW w:w="2835" w:type="dxa"/>
            <w:tcBorders>
              <w:top w:val="single" w:color="auto" w:sz="4" w:space="0"/>
              <w:left w:val="nil"/>
              <w:bottom w:val="nil"/>
              <w:right w:val="single" w:color="auto" w:sz="4" w:space="0"/>
            </w:tcBorders>
            <w:vAlign w:val="center"/>
          </w:tcPr>
          <w:p>
            <w:pPr>
              <w:pStyle w:val="16"/>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6"/>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 xml:space="preserve">   固定资产总额</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color w:val="000000"/>
                <w:sz w:val="21"/>
                <w:szCs w:val="21"/>
                <w:lang w:val="en-US" w:eastAsia="zh-CN"/>
              </w:rPr>
            </w:pP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Calibri" w:hAnsi="Calibri" w:eastAsia="宋体" w:cs="宋体"/>
                <w:kern w:val="2"/>
                <w:sz w:val="21"/>
                <w:szCs w:val="21"/>
                <w:lang w:val="en-US" w:eastAsia="zh-CN"/>
              </w:rPr>
            </w:pPr>
            <w:r>
              <w:rPr>
                <w:rFonts w:hint="eastAsia" w:ascii="Calibri" w:hAnsi="Calibri" w:cs="宋体"/>
                <w:kern w:val="2"/>
                <w:sz w:val="21"/>
                <w:szCs w:val="21"/>
                <w:lang w:val="en-US" w:eastAsia="zh-CN"/>
              </w:rPr>
              <w:t>98.48</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lang w:val="en-US" w:eastAsia="uk-UA" w:bidi="ar-SA"/>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color w:val="000000"/>
                <w:sz w:val="21"/>
                <w:szCs w:val="21"/>
                <w:lang w:val="en-US" w:eastAsia="zh-CN" w:bidi="ar-SA"/>
              </w:rPr>
            </w:pPr>
            <w:r>
              <w:rPr>
                <w:rFonts w:hint="eastAsia" w:ascii="宋体" w:hAnsi="宋体"/>
                <w:color w:val="000000"/>
                <w:sz w:val="21"/>
                <w:szCs w:val="21"/>
                <w:lang w:val="en-US" w:eastAsia="zh-CN"/>
              </w:rPr>
              <w:t>1148</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Calibri" w:hAnsi="Calibri" w:eastAsia="宋体" w:cs="宋体"/>
                <w:kern w:val="2"/>
                <w:sz w:val="21"/>
                <w:szCs w:val="21"/>
                <w:lang w:val="en-US" w:eastAsia="zh-CN" w:bidi="ar-SA"/>
              </w:rPr>
            </w:pPr>
            <w:r>
              <w:rPr>
                <w:rFonts w:hint="eastAsia" w:ascii="宋体" w:hAnsi="宋体"/>
                <w:color w:val="000000"/>
                <w:sz w:val="21"/>
                <w:szCs w:val="21"/>
                <w:lang w:val="en-US" w:eastAsia="zh-CN"/>
              </w:rPr>
              <w:t>72.50</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lang w:val="en-US" w:eastAsia="uk-UA" w:bidi="ar-SA"/>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val="en-US" w:eastAsia="zh-CN" w:bidi="ar-SA"/>
              </w:rPr>
            </w:pPr>
            <w:r>
              <w:rPr>
                <w:rFonts w:hint="eastAsia" w:ascii="宋体" w:hAnsi="宋体" w:eastAsiaTheme="minorEastAsia"/>
                <w:color w:val="000000"/>
                <w:sz w:val="21"/>
                <w:szCs w:val="21"/>
                <w:lang w:eastAsia="zh-CN"/>
              </w:rPr>
              <w:t>1</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s="宋体" w:eastAsiaTheme="minorEastAsia"/>
                <w:kern w:val="2"/>
                <w:sz w:val="21"/>
                <w:szCs w:val="21"/>
                <w:lang w:val="en-US" w:eastAsia="zh-CN" w:bidi="ar-SA"/>
              </w:rPr>
            </w:pPr>
            <w:r>
              <w:rPr>
                <w:rFonts w:hint="eastAsia" w:ascii="宋体" w:hAnsi="宋体" w:eastAsiaTheme="minorEastAsia"/>
                <w:color w:val="000000"/>
                <w:sz w:val="21"/>
                <w:szCs w:val="21"/>
                <w:lang w:val="en-US" w:eastAsia="zh-CN"/>
              </w:rPr>
              <w:t>12</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sz w:val="21"/>
                <w:szCs w:val="21"/>
                <w:lang w:val="en-US" w:eastAsia="uk-UA" w:bidi="ar-SA"/>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eastAsia="宋体" w:cs="宋体"/>
                <w:color w:val="000000"/>
                <w:sz w:val="21"/>
                <w:szCs w:val="21"/>
                <w:lang w:val="en-US" w:eastAsia="uk-UA" w:bidi="ar-SA"/>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rPr>
              <w:t>13.98</w:t>
            </w:r>
          </w:p>
        </w:tc>
      </w:tr>
    </w:tbl>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eastAsia="zh-CN"/>
        </w:rPr>
        <w:t>县（区）级</w:t>
      </w:r>
      <w:r>
        <w:rPr>
          <w:rFonts w:hint="eastAsia" w:eastAsia="方正仿宋_GBK"/>
          <w:color w:val="000000"/>
          <w:sz w:val="28"/>
        </w:rPr>
        <w:t>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eastAsia="zh-CN"/>
        </w:rPr>
        <w:t>县（区）级</w:t>
      </w:r>
      <w:r>
        <w:rPr>
          <w:rFonts w:hint="eastAsia" w:eastAsia="方正仿宋_GBK"/>
          <w:color w:val="000000"/>
          <w:sz w:val="28"/>
        </w:rPr>
        <w:t>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eastAsia="zh-CN"/>
        </w:rPr>
        <w:sectPr>
          <w:type w:val="continuous"/>
          <w:pgSz w:w="16840" w:h="11900" w:orient="landscape"/>
          <w:pgMar w:top="1361" w:right="1021" w:bottom="1134" w:left="1021" w:header="720" w:footer="720" w:gutter="0"/>
          <w:cols w:space="720" w:num="1"/>
        </w:sectPr>
      </w:pPr>
      <w:r>
        <w:rPr>
          <w:rFonts w:hint="eastAsia" w:eastAsia="方正仿宋_GBK"/>
          <w:color w:val="000000"/>
          <w:sz w:val="28"/>
        </w:rPr>
        <w:t>我单位无其他需要说明的事</w:t>
      </w:r>
      <w:r>
        <w:rPr>
          <w:rFonts w:hint="eastAsia" w:eastAsia="方正仿宋_GBK"/>
          <w:color w:val="000000"/>
          <w:sz w:val="28"/>
          <w:lang w:eastAsia="zh-CN"/>
        </w:rPr>
        <w:t>项。</w:t>
      </w:r>
    </w:p>
    <w:p>
      <w:pPr>
        <w:jc w:val="center"/>
        <w:outlineLvl w:val="3"/>
      </w:pPr>
      <w:bookmarkStart w:id="2" w:name="_Toc_4_4_0000000020"/>
      <w:r>
        <w:rPr>
          <w:rFonts w:hint="eastAsia" w:ascii="方正小标宋_GBK" w:hAnsi="方正小标宋_GBK" w:eastAsia="方正小标宋_GBK" w:cs="方正小标宋_GBK"/>
          <w:color w:val="000000"/>
          <w:sz w:val="44"/>
        </w:rPr>
        <w:t>二、</w:t>
      </w:r>
      <w:r>
        <w:rPr>
          <w:rFonts w:hint="eastAsia" w:ascii="方正小标宋_GBK" w:hAnsi="方正小标宋_GBK" w:eastAsia="方正小标宋_GBK" w:cs="方正小标宋_GBK"/>
          <w:color w:val="000000"/>
          <w:sz w:val="44"/>
          <w:lang w:eastAsia="zh-CN"/>
        </w:rPr>
        <w:t>涞水县胡家庄乡人民政府</w:t>
      </w:r>
      <w:r>
        <w:rPr>
          <w:rFonts w:hint="eastAsia" w:ascii="方正小标宋_GBK" w:hAnsi="方正小标宋_GBK" w:eastAsia="方正小标宋_GBK" w:cs="方正小标宋_GBK"/>
          <w:color w:val="000000"/>
          <w:sz w:val="44"/>
        </w:rPr>
        <w:t>收支预算</w:t>
      </w:r>
      <w:bookmarkEnd w:id="2"/>
    </w:p>
    <w:p>
      <w:pPr>
        <w:jc w:val="center"/>
        <w:outlineLvl w:val="4"/>
      </w:pPr>
      <w:r>
        <w:rPr>
          <w:rFonts w:hint="eastAsia" w:ascii="方正小标宋_GBK" w:hAnsi="方正小标宋_GBK" w:eastAsia="方正小标宋_GBK" w:cs="方正小标宋_GBK"/>
          <w:color w:val="000000"/>
          <w:sz w:val="36"/>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809003涞水县胡家庄乡人民政府</w:t>
            </w:r>
          </w:p>
        </w:tc>
        <w:tc>
          <w:tcPr>
            <w:tcW w:w="2126"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6661" w:type="dxa"/>
            <w:gridSpan w:val="2"/>
            <w:vAlign w:val="center"/>
          </w:tcPr>
          <w:p>
            <w:pPr>
              <w:pStyle w:val="16"/>
            </w:pPr>
            <w:r>
              <w:rPr>
                <w:rFonts w:hint="eastAsia"/>
              </w:rPr>
              <w:t>收入</w:t>
            </w:r>
          </w:p>
        </w:tc>
        <w:tc>
          <w:tcPr>
            <w:tcW w:w="6661" w:type="dxa"/>
            <w:gridSpan w:val="2"/>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c>
          <w:tcPr>
            <w:tcW w:w="4535"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4535"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5" w:type="dxa"/>
            <w:vAlign w:val="center"/>
          </w:tcPr>
          <w:p>
            <w:pPr>
              <w:pStyle w:val="18"/>
            </w:pPr>
            <w:r>
              <w:rPr>
                <w:rFonts w:hint="eastAsia"/>
              </w:rPr>
              <w:t>一、一般公共预算拨款收入</w:t>
            </w:r>
          </w:p>
        </w:tc>
        <w:tc>
          <w:tcPr>
            <w:tcW w:w="2126" w:type="dxa"/>
            <w:vAlign w:val="center"/>
          </w:tcPr>
          <w:p>
            <w:pPr>
              <w:pStyle w:val="17"/>
              <w:rPr>
                <w:rFonts w:hint="default" w:eastAsia="方正书宋_GBK"/>
                <w:lang w:val="en-US" w:eastAsia="zh-CN"/>
              </w:rPr>
            </w:pPr>
            <w:r>
              <w:rPr>
                <w:rFonts w:hint="eastAsia"/>
                <w:lang w:val="en-US" w:eastAsia="zh-CN"/>
              </w:rPr>
              <w:t>107.83</w:t>
            </w:r>
          </w:p>
        </w:tc>
        <w:tc>
          <w:tcPr>
            <w:tcW w:w="4535" w:type="dxa"/>
            <w:vAlign w:val="center"/>
          </w:tcPr>
          <w:p>
            <w:pPr>
              <w:pStyle w:val="18"/>
            </w:pPr>
            <w:r>
              <w:rPr>
                <w:rFonts w:hint="eastAsia"/>
              </w:rPr>
              <w:t>一、一般公共服务支出</w:t>
            </w:r>
          </w:p>
        </w:tc>
        <w:tc>
          <w:tcPr>
            <w:tcW w:w="2126" w:type="dxa"/>
            <w:vAlign w:val="center"/>
          </w:tcPr>
          <w:p>
            <w:pPr>
              <w:pStyle w:val="17"/>
              <w:rPr>
                <w:rFonts w:hint="default" w:eastAsia="方正书宋_GBK"/>
                <w:lang w:val="en-US" w:eastAsia="zh-CN"/>
              </w:rPr>
            </w:pPr>
            <w:r>
              <w:rPr>
                <w:rFonts w:hint="eastAsia"/>
                <w:lang w:val="en-US" w:eastAsia="zh-CN"/>
              </w:rPr>
              <w:t>100.95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5" w:type="dxa"/>
            <w:vAlign w:val="center"/>
          </w:tcPr>
          <w:p>
            <w:pPr>
              <w:pStyle w:val="18"/>
            </w:pPr>
            <w:r>
              <w:rPr>
                <w:rFonts w:hint="eastAsia"/>
              </w:rPr>
              <w:t>二、政府性基金预算拨款收入</w:t>
            </w:r>
          </w:p>
        </w:tc>
        <w:tc>
          <w:tcPr>
            <w:tcW w:w="2126" w:type="dxa"/>
            <w:vAlign w:val="center"/>
          </w:tcPr>
          <w:p>
            <w:pPr>
              <w:pStyle w:val="17"/>
            </w:pPr>
          </w:p>
        </w:tc>
        <w:tc>
          <w:tcPr>
            <w:tcW w:w="4535" w:type="dxa"/>
            <w:vAlign w:val="center"/>
          </w:tcPr>
          <w:p>
            <w:pPr>
              <w:pStyle w:val="18"/>
            </w:pPr>
            <w:r>
              <w:rPr>
                <w:rFonts w:hint="eastAsia"/>
              </w:rPr>
              <w:t>二、外交支出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5" w:type="dxa"/>
            <w:vAlign w:val="center"/>
          </w:tcPr>
          <w:p>
            <w:pPr>
              <w:pStyle w:val="18"/>
            </w:pPr>
            <w:r>
              <w:rPr>
                <w:rFonts w:hint="eastAsia"/>
              </w:rPr>
              <w:t>三、国有资本经营预算拨款收入</w:t>
            </w:r>
          </w:p>
        </w:tc>
        <w:tc>
          <w:tcPr>
            <w:tcW w:w="2126" w:type="dxa"/>
            <w:vAlign w:val="center"/>
          </w:tcPr>
          <w:p>
            <w:pPr>
              <w:pStyle w:val="17"/>
            </w:pPr>
          </w:p>
        </w:tc>
        <w:tc>
          <w:tcPr>
            <w:tcW w:w="4535" w:type="dxa"/>
            <w:vAlign w:val="center"/>
          </w:tcPr>
          <w:p>
            <w:pPr>
              <w:pStyle w:val="18"/>
            </w:pPr>
            <w:r>
              <w:rPr>
                <w:rFonts w:hint="eastAsia"/>
              </w:rPr>
              <w:t>三、国防支出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5" w:type="dxa"/>
            <w:vAlign w:val="center"/>
          </w:tcPr>
          <w:p>
            <w:pPr>
              <w:pStyle w:val="18"/>
            </w:pPr>
            <w:r>
              <w:rPr>
                <w:rFonts w:hint="eastAsia"/>
              </w:rPr>
              <w:t>四、财政专户管理资金收入</w:t>
            </w:r>
          </w:p>
        </w:tc>
        <w:tc>
          <w:tcPr>
            <w:tcW w:w="2126" w:type="dxa"/>
            <w:vAlign w:val="center"/>
          </w:tcPr>
          <w:p>
            <w:pPr>
              <w:pStyle w:val="17"/>
            </w:pPr>
          </w:p>
        </w:tc>
        <w:tc>
          <w:tcPr>
            <w:tcW w:w="4535" w:type="dxa"/>
            <w:vAlign w:val="center"/>
          </w:tcPr>
          <w:p>
            <w:pPr>
              <w:pStyle w:val="18"/>
            </w:pPr>
            <w:r>
              <w:rPr>
                <w:rFonts w:hint="eastAsia"/>
              </w:rPr>
              <w:t>四、公共安全支出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5" w:type="dxa"/>
            <w:vAlign w:val="center"/>
          </w:tcPr>
          <w:p>
            <w:pPr>
              <w:pStyle w:val="18"/>
            </w:pPr>
            <w:r>
              <w:rPr>
                <w:rFonts w:hint="eastAsia"/>
              </w:rPr>
              <w:t>五、事业收入</w:t>
            </w:r>
          </w:p>
        </w:tc>
        <w:tc>
          <w:tcPr>
            <w:tcW w:w="2126" w:type="dxa"/>
            <w:vAlign w:val="center"/>
          </w:tcPr>
          <w:p>
            <w:pPr>
              <w:pStyle w:val="17"/>
            </w:pPr>
          </w:p>
        </w:tc>
        <w:tc>
          <w:tcPr>
            <w:tcW w:w="4535" w:type="dxa"/>
            <w:vAlign w:val="center"/>
          </w:tcPr>
          <w:p>
            <w:pPr>
              <w:pStyle w:val="18"/>
            </w:pPr>
            <w:r>
              <w:rPr>
                <w:rFonts w:hint="eastAsia"/>
              </w:rPr>
              <w:t>五、教育支出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5" w:type="dxa"/>
            <w:vAlign w:val="center"/>
          </w:tcPr>
          <w:p>
            <w:pPr>
              <w:pStyle w:val="18"/>
            </w:pPr>
            <w:r>
              <w:rPr>
                <w:rFonts w:hint="eastAsia"/>
              </w:rPr>
              <w:t>六、事业单位经营收入</w:t>
            </w:r>
          </w:p>
        </w:tc>
        <w:tc>
          <w:tcPr>
            <w:tcW w:w="2126" w:type="dxa"/>
            <w:vAlign w:val="center"/>
          </w:tcPr>
          <w:p>
            <w:pPr>
              <w:pStyle w:val="17"/>
            </w:pPr>
          </w:p>
        </w:tc>
        <w:tc>
          <w:tcPr>
            <w:tcW w:w="4535" w:type="dxa"/>
            <w:vAlign w:val="center"/>
          </w:tcPr>
          <w:p>
            <w:pPr>
              <w:pStyle w:val="18"/>
            </w:pPr>
            <w:r>
              <w:rPr>
                <w:rFonts w:hint="eastAsia"/>
              </w:rPr>
              <w:t>六、科学技术支出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5" w:type="dxa"/>
            <w:vAlign w:val="center"/>
          </w:tcPr>
          <w:p>
            <w:pPr>
              <w:pStyle w:val="18"/>
            </w:pPr>
            <w:r>
              <w:rPr>
                <w:rFonts w:hint="eastAsia"/>
              </w:rPr>
              <w:t>七、上级补助收入</w:t>
            </w:r>
          </w:p>
        </w:tc>
        <w:tc>
          <w:tcPr>
            <w:tcW w:w="2126" w:type="dxa"/>
            <w:vAlign w:val="center"/>
          </w:tcPr>
          <w:p>
            <w:pPr>
              <w:pStyle w:val="17"/>
            </w:pPr>
          </w:p>
        </w:tc>
        <w:tc>
          <w:tcPr>
            <w:tcW w:w="4535" w:type="dxa"/>
            <w:vAlign w:val="center"/>
          </w:tcPr>
          <w:p>
            <w:pPr>
              <w:pStyle w:val="18"/>
            </w:pPr>
            <w:r>
              <w:rPr>
                <w:rFonts w:hint="eastAsia"/>
              </w:rPr>
              <w:t>七、文化旅游体育与传媒支出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5" w:type="dxa"/>
            <w:vAlign w:val="center"/>
          </w:tcPr>
          <w:p>
            <w:pPr>
              <w:pStyle w:val="18"/>
            </w:pPr>
            <w:r>
              <w:rPr>
                <w:rFonts w:hint="eastAsia"/>
              </w:rPr>
              <w:t>八、附属单位上缴收入</w:t>
            </w:r>
          </w:p>
        </w:tc>
        <w:tc>
          <w:tcPr>
            <w:tcW w:w="2126" w:type="dxa"/>
            <w:vAlign w:val="center"/>
          </w:tcPr>
          <w:p>
            <w:pPr>
              <w:pStyle w:val="17"/>
            </w:pPr>
          </w:p>
        </w:tc>
        <w:tc>
          <w:tcPr>
            <w:tcW w:w="4535" w:type="dxa"/>
            <w:vAlign w:val="center"/>
          </w:tcPr>
          <w:p>
            <w:pPr>
              <w:pStyle w:val="18"/>
            </w:pPr>
            <w:r>
              <w:rPr>
                <w:rFonts w:hint="eastAsia"/>
              </w:rPr>
              <w:t>八、社会保障和就业支出</w:t>
            </w:r>
          </w:p>
        </w:tc>
        <w:tc>
          <w:tcPr>
            <w:tcW w:w="2126" w:type="dxa"/>
            <w:vAlign w:val="center"/>
          </w:tcPr>
          <w:p>
            <w:pPr>
              <w:pStyle w:val="17"/>
              <w:rPr>
                <w:rFonts w:hint="default" w:eastAsia="方正书宋_GBK"/>
                <w:lang w:val="en-US" w:eastAsia="zh-CN"/>
              </w:rPr>
            </w:pPr>
            <w:r>
              <w:rPr>
                <w:rFonts w:hint="eastAsia"/>
                <w:lang w:val="en-US" w:eastAsia="zh-CN"/>
              </w:rPr>
              <w:t>3.57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5" w:type="dxa"/>
            <w:vAlign w:val="center"/>
          </w:tcPr>
          <w:p>
            <w:pPr>
              <w:pStyle w:val="18"/>
            </w:pPr>
            <w:r>
              <w:rPr>
                <w:rFonts w:hint="eastAsia"/>
              </w:rPr>
              <w:t>九、其他收入</w:t>
            </w:r>
          </w:p>
        </w:tc>
        <w:tc>
          <w:tcPr>
            <w:tcW w:w="2126" w:type="dxa"/>
            <w:vAlign w:val="center"/>
          </w:tcPr>
          <w:p>
            <w:pPr>
              <w:pStyle w:val="17"/>
            </w:pPr>
          </w:p>
        </w:tc>
        <w:tc>
          <w:tcPr>
            <w:tcW w:w="4535" w:type="dxa"/>
            <w:vAlign w:val="center"/>
          </w:tcPr>
          <w:p>
            <w:pPr>
              <w:pStyle w:val="18"/>
            </w:pPr>
            <w:r>
              <w:rPr>
                <w:rFonts w:hint="eastAsia"/>
              </w:rPr>
              <w:t>九、社会保险基金支出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十、卫生健康支出</w:t>
            </w:r>
          </w:p>
        </w:tc>
        <w:tc>
          <w:tcPr>
            <w:tcW w:w="2126" w:type="dxa"/>
            <w:vAlign w:val="center"/>
          </w:tcPr>
          <w:p>
            <w:pPr>
              <w:pStyle w:val="17"/>
              <w:rPr>
                <w:rFonts w:hint="default" w:eastAsia="方正书宋_GBK"/>
                <w:lang w:val="en-US" w:eastAsia="zh-CN"/>
              </w:rPr>
            </w:pPr>
            <w:r>
              <w:rPr>
                <w:rFonts w:hint="eastAsia"/>
                <w:lang w:val="en-US" w:eastAsia="zh-CN"/>
              </w:rPr>
              <w:t>1.35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二十、住房保障支出</w:t>
            </w:r>
          </w:p>
        </w:tc>
        <w:tc>
          <w:tcPr>
            <w:tcW w:w="2126" w:type="dxa"/>
            <w:vAlign w:val="center"/>
          </w:tcPr>
          <w:p>
            <w:pPr>
              <w:pStyle w:val="17"/>
              <w:rPr>
                <w:rFonts w:hint="default" w:eastAsia="方正书宋_GBK"/>
                <w:lang w:val="en-US" w:eastAsia="zh-CN"/>
              </w:rPr>
            </w:pPr>
            <w:r>
              <w:rPr>
                <w:rFonts w:hint="eastAsia"/>
                <w:lang w:val="en-US" w:eastAsia="zh-CN"/>
              </w:rPr>
              <w:t>1.96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二十一、粮油物资储备支出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二十二、国有资本经营预算支出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二十三、灾害防治及应急管理支出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二十四、预备费</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二十五、其他支出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二十六、转移性支出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二十七、债务还本支出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二十八、债务付息支出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二十九、债务发行费用支出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三十、抗疫特别国债安排的支出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5" w:type="dxa"/>
            <w:vAlign w:val="center"/>
          </w:tcPr>
          <w:p>
            <w:pPr>
              <w:pStyle w:val="20"/>
            </w:pPr>
            <w:r>
              <w:rPr>
                <w:rFonts w:hint="eastAsia"/>
              </w:rPr>
              <w:t>本年收入合计</w:t>
            </w:r>
          </w:p>
        </w:tc>
        <w:tc>
          <w:tcPr>
            <w:tcW w:w="2126" w:type="dxa"/>
            <w:vAlign w:val="center"/>
          </w:tcPr>
          <w:p>
            <w:pPr>
              <w:pStyle w:val="21"/>
              <w:rPr>
                <w:rFonts w:hint="default"/>
                <w:lang w:val="en-US"/>
              </w:rPr>
            </w:pPr>
            <w:r>
              <w:rPr>
                <w:rFonts w:hint="eastAsia"/>
                <w:lang w:val="en-US" w:eastAsia="zh-CN"/>
              </w:rPr>
              <w:t>107.83</w:t>
            </w:r>
          </w:p>
        </w:tc>
        <w:tc>
          <w:tcPr>
            <w:tcW w:w="4535" w:type="dxa"/>
            <w:vAlign w:val="center"/>
          </w:tcPr>
          <w:p>
            <w:pPr>
              <w:pStyle w:val="20"/>
            </w:pPr>
            <w:r>
              <w:rPr>
                <w:rFonts w:hint="eastAsia"/>
              </w:rPr>
              <w:t>本年支出合计</w:t>
            </w:r>
          </w:p>
        </w:tc>
        <w:tc>
          <w:tcPr>
            <w:tcW w:w="2126" w:type="dxa"/>
            <w:vAlign w:val="center"/>
          </w:tcPr>
          <w:p>
            <w:pPr>
              <w:pStyle w:val="21"/>
              <w:rPr>
                <w:rFonts w:hint="default"/>
                <w:lang w:val="en-US"/>
              </w:rPr>
            </w:pPr>
            <w:r>
              <w:rPr>
                <w:rFonts w:hint="eastAsia"/>
                <w:lang w:val="en-US" w:eastAsia="zh-CN"/>
              </w:rPr>
              <w:t>107.83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5" w:type="dxa"/>
            <w:vAlign w:val="center"/>
          </w:tcPr>
          <w:p>
            <w:pPr>
              <w:pStyle w:val="18"/>
            </w:pPr>
            <w:r>
              <w:rPr>
                <w:rFonts w:hint="eastAsia"/>
              </w:rPr>
              <w:t>上年结转结余</w:t>
            </w:r>
          </w:p>
        </w:tc>
        <w:tc>
          <w:tcPr>
            <w:tcW w:w="2126" w:type="dxa"/>
            <w:vAlign w:val="center"/>
          </w:tcPr>
          <w:p>
            <w:pPr>
              <w:pStyle w:val="17"/>
            </w:pPr>
          </w:p>
        </w:tc>
        <w:tc>
          <w:tcPr>
            <w:tcW w:w="4535" w:type="dxa"/>
            <w:vAlign w:val="center"/>
          </w:tcPr>
          <w:p>
            <w:pPr>
              <w:pStyle w:val="18"/>
            </w:pPr>
            <w:r>
              <w:rPr>
                <w:rFonts w:hint="eastAsia"/>
              </w:rPr>
              <w:t>年终结转结余</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5" w:type="dxa"/>
            <w:vAlign w:val="center"/>
          </w:tcPr>
          <w:p>
            <w:pPr>
              <w:pStyle w:val="20"/>
            </w:pPr>
            <w:r>
              <w:rPr>
                <w:rFonts w:hint="eastAsia"/>
              </w:rPr>
              <w:t>收入总计</w:t>
            </w:r>
          </w:p>
        </w:tc>
        <w:tc>
          <w:tcPr>
            <w:tcW w:w="2126" w:type="dxa"/>
            <w:vAlign w:val="center"/>
          </w:tcPr>
          <w:p>
            <w:pPr>
              <w:pStyle w:val="21"/>
              <w:rPr>
                <w:rFonts w:hint="default"/>
                <w:lang w:val="en-US"/>
              </w:rPr>
            </w:pPr>
            <w:r>
              <w:rPr>
                <w:rFonts w:hint="eastAsia"/>
                <w:lang w:val="en-US" w:eastAsia="zh-CN"/>
              </w:rPr>
              <w:t>107.83</w:t>
            </w:r>
          </w:p>
        </w:tc>
        <w:tc>
          <w:tcPr>
            <w:tcW w:w="4535" w:type="dxa"/>
            <w:vAlign w:val="center"/>
          </w:tcPr>
          <w:p>
            <w:pPr>
              <w:pStyle w:val="20"/>
            </w:pPr>
            <w:r>
              <w:rPr>
                <w:rFonts w:hint="eastAsia"/>
              </w:rPr>
              <w:t>支出总计</w:t>
            </w:r>
          </w:p>
        </w:tc>
        <w:tc>
          <w:tcPr>
            <w:tcW w:w="2126" w:type="dxa"/>
            <w:vAlign w:val="center"/>
          </w:tcPr>
          <w:p>
            <w:pPr>
              <w:pStyle w:val="21"/>
              <w:rPr>
                <w:rFonts w:hint="default"/>
                <w:lang w:val="en-US"/>
              </w:rPr>
            </w:pPr>
            <w:r>
              <w:rPr>
                <w:rFonts w:hint="eastAsia"/>
                <w:lang w:val="en-US" w:eastAsia="zh-CN"/>
              </w:rPr>
              <w:t>107.83</w:t>
            </w: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5"/>
            </w:pPr>
            <w:r>
              <w:rPr>
                <w:rFonts w:hint="eastAsia"/>
                <w:lang w:val="en-US" w:eastAsia="zh-CN"/>
              </w:rPr>
              <w:t>809003涞水县胡家庄乡人民政府</w:t>
            </w:r>
          </w:p>
        </w:tc>
        <w:tc>
          <w:tcPr>
            <w:tcW w:w="3402" w:type="dxa"/>
            <w:gridSpan w:val="3"/>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670" w:type="dxa"/>
            <w:gridSpan w:val="5"/>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rPr>
                <w:rFonts w:hint="eastAsia"/>
              </w:rPr>
              <w:t>序号</w:t>
            </w:r>
          </w:p>
        </w:tc>
        <w:tc>
          <w:tcPr>
            <w:tcW w:w="2551" w:type="dxa"/>
            <w:gridSpan w:val="2"/>
            <w:vAlign w:val="center"/>
          </w:tcPr>
          <w:p>
            <w:pPr>
              <w:pStyle w:val="16"/>
            </w:pPr>
            <w:r>
              <w:rPr>
                <w:rFonts w:hint="eastAsia"/>
              </w:rPr>
              <w:t>功能分类科目</w:t>
            </w:r>
          </w:p>
        </w:tc>
        <w:tc>
          <w:tcPr>
            <w:tcW w:w="1134" w:type="dxa"/>
            <w:vMerge w:val="restart"/>
            <w:vAlign w:val="center"/>
          </w:tcPr>
          <w:p>
            <w:pPr>
              <w:pStyle w:val="16"/>
            </w:pPr>
            <w:r>
              <w:rPr>
                <w:rFonts w:hint="eastAsia"/>
              </w:rPr>
              <w:t>合计</w:t>
            </w:r>
          </w:p>
        </w:tc>
        <w:tc>
          <w:tcPr>
            <w:tcW w:w="9072" w:type="dxa"/>
            <w:gridSpan w:val="8"/>
            <w:vAlign w:val="center"/>
          </w:tcPr>
          <w:p>
            <w:pPr>
              <w:pStyle w:val="16"/>
            </w:pPr>
            <w:r>
              <w:rPr>
                <w:rFonts w:hint="eastAsia"/>
              </w:rPr>
              <w:t>本年收入</w:t>
            </w:r>
          </w:p>
        </w:tc>
        <w:tc>
          <w:tcPr>
            <w:tcW w:w="1134" w:type="dxa"/>
            <w:vMerge w:val="restart"/>
            <w:vAlign w:val="center"/>
          </w:tcPr>
          <w:p>
            <w:pPr>
              <w:pStyle w:val="16"/>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6"/>
            </w:pPr>
            <w:r>
              <w:rPr>
                <w:rFonts w:hint="eastAsia"/>
              </w:rPr>
              <w:t>科目</w:t>
            </w:r>
            <w:r>
              <w:t xml:space="preserve">    </w:t>
            </w:r>
            <w:r>
              <w:rPr>
                <w:rFonts w:hint="eastAsia"/>
              </w:rPr>
              <w:t>编码</w:t>
            </w:r>
          </w:p>
        </w:tc>
        <w:tc>
          <w:tcPr>
            <w:tcW w:w="1559" w:type="dxa"/>
            <w:vAlign w:val="center"/>
          </w:tcPr>
          <w:p>
            <w:pPr>
              <w:pStyle w:val="16"/>
            </w:pPr>
            <w:r>
              <w:rPr>
                <w:rFonts w:hint="eastAsia"/>
              </w:rPr>
              <w:t>科目名称</w:t>
            </w:r>
          </w:p>
        </w:tc>
        <w:tc>
          <w:tcPr>
            <w:tcW w:w="1134" w:type="dxa"/>
            <w:vMerge w:val="continue"/>
          </w:tcPr>
          <w:p/>
        </w:tc>
        <w:tc>
          <w:tcPr>
            <w:tcW w:w="1134" w:type="dxa"/>
            <w:vAlign w:val="center"/>
          </w:tcPr>
          <w:p>
            <w:pPr>
              <w:pStyle w:val="16"/>
            </w:pPr>
            <w:r>
              <w:rPr>
                <w:rFonts w:hint="eastAsia"/>
              </w:rPr>
              <w:t>小计</w:t>
            </w:r>
          </w:p>
        </w:tc>
        <w:tc>
          <w:tcPr>
            <w:tcW w:w="1134" w:type="dxa"/>
            <w:vAlign w:val="center"/>
          </w:tcPr>
          <w:p>
            <w:pPr>
              <w:pStyle w:val="16"/>
            </w:pPr>
            <w:r>
              <w:rPr>
                <w:rFonts w:hint="eastAsia"/>
              </w:rPr>
              <w:t>财政拨款</w:t>
            </w:r>
            <w:r>
              <w:t xml:space="preserve"> </w:t>
            </w:r>
            <w:r>
              <w:rPr>
                <w:rFonts w:hint="eastAsia"/>
              </w:rPr>
              <w:t>收入</w:t>
            </w:r>
          </w:p>
        </w:tc>
        <w:tc>
          <w:tcPr>
            <w:tcW w:w="1134" w:type="dxa"/>
            <w:vAlign w:val="center"/>
          </w:tcPr>
          <w:p>
            <w:pPr>
              <w:pStyle w:val="16"/>
            </w:pPr>
            <w:r>
              <w:rPr>
                <w:rFonts w:hint="eastAsia"/>
              </w:rPr>
              <w:t>财政专户</w:t>
            </w:r>
            <w:r>
              <w:t xml:space="preserve"> </w:t>
            </w:r>
            <w:r>
              <w:rPr>
                <w:rFonts w:hint="eastAsia"/>
              </w:rPr>
              <w:t>收入</w:t>
            </w:r>
          </w:p>
        </w:tc>
        <w:tc>
          <w:tcPr>
            <w:tcW w:w="1134" w:type="dxa"/>
            <w:vAlign w:val="center"/>
          </w:tcPr>
          <w:p>
            <w:pPr>
              <w:pStyle w:val="16"/>
            </w:pPr>
            <w:r>
              <w:rPr>
                <w:rFonts w:hint="eastAsia"/>
              </w:rPr>
              <w:t>事业收入</w:t>
            </w:r>
          </w:p>
        </w:tc>
        <w:tc>
          <w:tcPr>
            <w:tcW w:w="1134" w:type="dxa"/>
            <w:vAlign w:val="center"/>
          </w:tcPr>
          <w:p>
            <w:pPr>
              <w:pStyle w:val="16"/>
            </w:pPr>
            <w:r>
              <w:rPr>
                <w:rFonts w:hint="eastAsia"/>
              </w:rPr>
              <w:t>经营收入</w:t>
            </w:r>
          </w:p>
        </w:tc>
        <w:tc>
          <w:tcPr>
            <w:tcW w:w="1134" w:type="dxa"/>
            <w:vAlign w:val="center"/>
          </w:tcPr>
          <w:p>
            <w:pPr>
              <w:pStyle w:val="16"/>
            </w:pPr>
            <w:r>
              <w:rPr>
                <w:rFonts w:hint="eastAsia"/>
              </w:rPr>
              <w:t>上级补助收入</w:t>
            </w:r>
          </w:p>
        </w:tc>
        <w:tc>
          <w:tcPr>
            <w:tcW w:w="1134" w:type="dxa"/>
            <w:vAlign w:val="center"/>
          </w:tcPr>
          <w:p>
            <w:pPr>
              <w:pStyle w:val="16"/>
            </w:pPr>
            <w:r>
              <w:rPr>
                <w:rFonts w:hint="eastAsia"/>
              </w:rPr>
              <w:t>附属单位上缴收入</w:t>
            </w:r>
          </w:p>
        </w:tc>
        <w:tc>
          <w:tcPr>
            <w:tcW w:w="1134" w:type="dxa"/>
            <w:vAlign w:val="center"/>
          </w:tcPr>
          <w:p>
            <w:pPr>
              <w:pStyle w:val="16"/>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pPr>
            <w:r>
              <w:rPr>
                <w:rFonts w:hint="eastAsia"/>
              </w:rPr>
              <w:t>栏次</w:t>
            </w:r>
          </w:p>
        </w:tc>
        <w:tc>
          <w:tcPr>
            <w:tcW w:w="992" w:type="dxa"/>
            <w:vAlign w:val="center"/>
          </w:tcPr>
          <w:p>
            <w:pPr>
              <w:pStyle w:val="16"/>
            </w:pPr>
            <w:r>
              <w:t>1</w:t>
            </w:r>
          </w:p>
        </w:tc>
        <w:tc>
          <w:tcPr>
            <w:tcW w:w="1559" w:type="dxa"/>
            <w:vAlign w:val="center"/>
          </w:tcPr>
          <w:p>
            <w:pPr>
              <w:pStyle w:val="16"/>
            </w:pPr>
            <w:r>
              <w:t>2</w:t>
            </w:r>
          </w:p>
        </w:tc>
        <w:tc>
          <w:tcPr>
            <w:tcW w:w="1134" w:type="dxa"/>
            <w:vAlign w:val="center"/>
          </w:tcPr>
          <w:p>
            <w:pPr>
              <w:pStyle w:val="16"/>
            </w:pPr>
            <w:r>
              <w:t>3</w:t>
            </w:r>
          </w:p>
        </w:tc>
        <w:tc>
          <w:tcPr>
            <w:tcW w:w="1134" w:type="dxa"/>
            <w:vAlign w:val="center"/>
          </w:tcPr>
          <w:p>
            <w:pPr>
              <w:pStyle w:val="16"/>
            </w:pPr>
            <w:r>
              <w:t>4</w:t>
            </w:r>
          </w:p>
        </w:tc>
        <w:tc>
          <w:tcPr>
            <w:tcW w:w="1134"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w:t>
            </w:r>
          </w:p>
        </w:tc>
        <w:tc>
          <w:tcPr>
            <w:tcW w:w="992" w:type="dxa"/>
            <w:vAlign w:val="center"/>
          </w:tcPr>
          <w:p>
            <w:pPr>
              <w:pStyle w:val="22"/>
            </w:pPr>
          </w:p>
        </w:tc>
        <w:tc>
          <w:tcPr>
            <w:tcW w:w="1559" w:type="dxa"/>
            <w:vAlign w:val="center"/>
          </w:tcPr>
          <w:p>
            <w:pPr>
              <w:pStyle w:val="20"/>
            </w:pPr>
            <w:r>
              <w:rPr>
                <w:rFonts w:hint="eastAsia"/>
              </w:rPr>
              <w:t>合计</w:t>
            </w:r>
          </w:p>
        </w:tc>
        <w:tc>
          <w:tcPr>
            <w:tcW w:w="1134" w:type="dxa"/>
            <w:vAlign w:val="center"/>
          </w:tcPr>
          <w:p>
            <w:pPr>
              <w:pStyle w:val="21"/>
              <w:rPr>
                <w:rFonts w:hint="default" w:eastAsia="方正书宋_GBK"/>
                <w:lang w:val="en-US" w:eastAsia="zh-CN"/>
              </w:rPr>
            </w:pPr>
            <w:r>
              <w:rPr>
                <w:rFonts w:hint="eastAsia"/>
                <w:lang w:val="en-US" w:eastAsia="zh-CN"/>
              </w:rPr>
              <w:t>107.83</w:t>
            </w:r>
          </w:p>
        </w:tc>
        <w:tc>
          <w:tcPr>
            <w:tcW w:w="1134" w:type="dxa"/>
            <w:vAlign w:val="center"/>
          </w:tcPr>
          <w:p>
            <w:pPr>
              <w:pStyle w:val="21"/>
              <w:rPr>
                <w:rFonts w:hint="default" w:eastAsia="方正书宋_GBK"/>
                <w:lang w:val="en-US" w:eastAsia="zh-CN"/>
              </w:rPr>
            </w:pPr>
            <w:r>
              <w:rPr>
                <w:rFonts w:hint="eastAsia"/>
                <w:lang w:val="en-US" w:eastAsia="zh-CN"/>
              </w:rPr>
              <w:t>107.83</w:t>
            </w:r>
          </w:p>
        </w:tc>
        <w:tc>
          <w:tcPr>
            <w:tcW w:w="1134" w:type="dxa"/>
            <w:vAlign w:val="center"/>
          </w:tcPr>
          <w:p>
            <w:pPr>
              <w:pStyle w:val="21"/>
              <w:rPr>
                <w:rFonts w:hint="default" w:eastAsia="方正书宋_GBK"/>
                <w:lang w:val="en-US" w:eastAsia="zh-CN"/>
              </w:rPr>
            </w:pPr>
            <w:r>
              <w:rPr>
                <w:rFonts w:hint="eastAsia"/>
                <w:lang w:val="en-US" w:eastAsia="zh-CN"/>
              </w:rPr>
              <w:t>107.83</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2</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201</w:t>
            </w:r>
          </w:p>
        </w:tc>
        <w:tc>
          <w:tcPr>
            <w:tcW w:w="1559"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一般公共服务支出</w:t>
            </w:r>
          </w:p>
        </w:tc>
        <w:tc>
          <w:tcPr>
            <w:tcW w:w="113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100.95</w:t>
            </w:r>
          </w:p>
        </w:tc>
        <w:tc>
          <w:tcPr>
            <w:tcW w:w="113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100.95</w:t>
            </w:r>
          </w:p>
        </w:tc>
        <w:tc>
          <w:tcPr>
            <w:tcW w:w="113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100.95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3</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20103</w:t>
            </w:r>
          </w:p>
        </w:tc>
        <w:tc>
          <w:tcPr>
            <w:tcW w:w="1559"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政府办公厅（室）及相关机构事务</w:t>
            </w:r>
          </w:p>
        </w:tc>
        <w:tc>
          <w:tcPr>
            <w:tcW w:w="113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100.95</w:t>
            </w:r>
          </w:p>
        </w:tc>
        <w:tc>
          <w:tcPr>
            <w:tcW w:w="113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100.95</w:t>
            </w:r>
          </w:p>
        </w:tc>
        <w:tc>
          <w:tcPr>
            <w:tcW w:w="113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100.95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4</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2010301</w:t>
            </w:r>
          </w:p>
        </w:tc>
        <w:tc>
          <w:tcPr>
            <w:tcW w:w="1559"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行政运行</w:t>
            </w:r>
          </w:p>
        </w:tc>
        <w:tc>
          <w:tcPr>
            <w:tcW w:w="113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100.95</w:t>
            </w:r>
          </w:p>
        </w:tc>
        <w:tc>
          <w:tcPr>
            <w:tcW w:w="113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100.95</w:t>
            </w:r>
          </w:p>
        </w:tc>
        <w:tc>
          <w:tcPr>
            <w:tcW w:w="113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100.95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5</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w:t>
            </w:r>
          </w:p>
        </w:tc>
        <w:tc>
          <w:tcPr>
            <w:tcW w:w="1559"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社会保障和就业支出</w:t>
            </w:r>
          </w:p>
        </w:tc>
        <w:tc>
          <w:tcPr>
            <w:tcW w:w="113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3.57</w:t>
            </w:r>
          </w:p>
        </w:tc>
        <w:tc>
          <w:tcPr>
            <w:tcW w:w="113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3.57</w:t>
            </w:r>
          </w:p>
        </w:tc>
        <w:tc>
          <w:tcPr>
            <w:tcW w:w="113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3.57</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6</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20805</w:t>
            </w:r>
          </w:p>
        </w:tc>
        <w:tc>
          <w:tcPr>
            <w:tcW w:w="1559"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行政事业单位养老支出</w:t>
            </w:r>
          </w:p>
        </w:tc>
        <w:tc>
          <w:tcPr>
            <w:tcW w:w="113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3.57</w:t>
            </w:r>
          </w:p>
        </w:tc>
        <w:tc>
          <w:tcPr>
            <w:tcW w:w="113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3.57</w:t>
            </w:r>
          </w:p>
        </w:tc>
        <w:tc>
          <w:tcPr>
            <w:tcW w:w="113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3.57</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7</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2080505</w:t>
            </w:r>
          </w:p>
        </w:tc>
        <w:tc>
          <w:tcPr>
            <w:tcW w:w="1559"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机关事业单位基本养老保险缴费支出</w:t>
            </w:r>
          </w:p>
        </w:tc>
        <w:tc>
          <w:tcPr>
            <w:tcW w:w="113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3.57</w:t>
            </w:r>
          </w:p>
        </w:tc>
        <w:tc>
          <w:tcPr>
            <w:tcW w:w="113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3.57</w:t>
            </w:r>
          </w:p>
        </w:tc>
        <w:tc>
          <w:tcPr>
            <w:tcW w:w="113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3.57</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8</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210</w:t>
            </w:r>
          </w:p>
        </w:tc>
        <w:tc>
          <w:tcPr>
            <w:tcW w:w="1559"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卫生健康支出</w:t>
            </w:r>
          </w:p>
        </w:tc>
        <w:tc>
          <w:tcPr>
            <w:tcW w:w="113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1.35</w:t>
            </w:r>
          </w:p>
        </w:tc>
        <w:tc>
          <w:tcPr>
            <w:tcW w:w="113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1.35</w:t>
            </w:r>
          </w:p>
        </w:tc>
        <w:tc>
          <w:tcPr>
            <w:tcW w:w="113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1.35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9</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21011</w:t>
            </w:r>
          </w:p>
        </w:tc>
        <w:tc>
          <w:tcPr>
            <w:tcW w:w="1559"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行政事业单位医疗</w:t>
            </w:r>
          </w:p>
        </w:tc>
        <w:tc>
          <w:tcPr>
            <w:tcW w:w="113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1.35</w:t>
            </w:r>
          </w:p>
        </w:tc>
        <w:tc>
          <w:tcPr>
            <w:tcW w:w="113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1.35</w:t>
            </w:r>
          </w:p>
        </w:tc>
        <w:tc>
          <w:tcPr>
            <w:tcW w:w="113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1.35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10</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2101102</w:t>
            </w:r>
          </w:p>
        </w:tc>
        <w:tc>
          <w:tcPr>
            <w:tcW w:w="1559"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事业单位医疗</w:t>
            </w:r>
          </w:p>
        </w:tc>
        <w:tc>
          <w:tcPr>
            <w:tcW w:w="113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1.35</w:t>
            </w:r>
          </w:p>
        </w:tc>
        <w:tc>
          <w:tcPr>
            <w:tcW w:w="113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1.35</w:t>
            </w:r>
          </w:p>
        </w:tc>
        <w:tc>
          <w:tcPr>
            <w:tcW w:w="113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1.35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11</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221</w:t>
            </w:r>
          </w:p>
        </w:tc>
        <w:tc>
          <w:tcPr>
            <w:tcW w:w="1559"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住房保障支出</w:t>
            </w:r>
          </w:p>
        </w:tc>
        <w:tc>
          <w:tcPr>
            <w:tcW w:w="113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1.96</w:t>
            </w:r>
          </w:p>
        </w:tc>
        <w:tc>
          <w:tcPr>
            <w:tcW w:w="113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1.96</w:t>
            </w:r>
          </w:p>
        </w:tc>
        <w:tc>
          <w:tcPr>
            <w:tcW w:w="113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1.96</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12</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22102</w:t>
            </w:r>
          </w:p>
        </w:tc>
        <w:tc>
          <w:tcPr>
            <w:tcW w:w="1559"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住房改革支出</w:t>
            </w:r>
          </w:p>
        </w:tc>
        <w:tc>
          <w:tcPr>
            <w:tcW w:w="113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1.96</w:t>
            </w:r>
          </w:p>
        </w:tc>
        <w:tc>
          <w:tcPr>
            <w:tcW w:w="113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1.96</w:t>
            </w:r>
          </w:p>
        </w:tc>
        <w:tc>
          <w:tcPr>
            <w:tcW w:w="113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1.96</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13</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2210201</w:t>
            </w:r>
          </w:p>
        </w:tc>
        <w:tc>
          <w:tcPr>
            <w:tcW w:w="1559"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住房公积金</w:t>
            </w:r>
          </w:p>
        </w:tc>
        <w:tc>
          <w:tcPr>
            <w:tcW w:w="113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1.96</w:t>
            </w:r>
          </w:p>
        </w:tc>
        <w:tc>
          <w:tcPr>
            <w:tcW w:w="113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1.96</w:t>
            </w:r>
          </w:p>
        </w:tc>
        <w:tc>
          <w:tcPr>
            <w:tcW w:w="113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1.96</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809003涞水县胡家庄乡人民政府</w:t>
            </w:r>
          </w:p>
        </w:tc>
        <w:tc>
          <w:tcPr>
            <w:tcW w:w="2722" w:type="dxa"/>
            <w:gridSpan w:val="2"/>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444"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528" w:type="dxa"/>
            <w:gridSpan w:val="2"/>
            <w:vAlign w:val="center"/>
          </w:tcPr>
          <w:p>
            <w:pPr>
              <w:pStyle w:val="16"/>
            </w:pPr>
            <w:r>
              <w:rPr>
                <w:rFonts w:hint="eastAsia"/>
              </w:rPr>
              <w:t>功能分类科目</w:t>
            </w:r>
          </w:p>
        </w:tc>
        <w:tc>
          <w:tcPr>
            <w:tcW w:w="1361" w:type="dxa"/>
            <w:vMerge w:val="restart"/>
            <w:vAlign w:val="center"/>
          </w:tcPr>
          <w:p>
            <w:pPr>
              <w:pStyle w:val="16"/>
            </w:pPr>
            <w:r>
              <w:rPr>
                <w:rFonts w:hint="eastAsia"/>
              </w:rPr>
              <w:t>合计</w:t>
            </w:r>
          </w:p>
        </w:tc>
        <w:tc>
          <w:tcPr>
            <w:tcW w:w="1361" w:type="dxa"/>
            <w:vMerge w:val="restart"/>
            <w:vAlign w:val="center"/>
          </w:tcPr>
          <w:p>
            <w:pPr>
              <w:pStyle w:val="16"/>
            </w:pPr>
            <w:r>
              <w:rPr>
                <w:rFonts w:hint="eastAsia"/>
              </w:rPr>
              <w:t>基本支出</w:t>
            </w:r>
          </w:p>
        </w:tc>
        <w:tc>
          <w:tcPr>
            <w:tcW w:w="1361" w:type="dxa"/>
            <w:vMerge w:val="restart"/>
            <w:vAlign w:val="center"/>
          </w:tcPr>
          <w:p>
            <w:pPr>
              <w:pStyle w:val="16"/>
            </w:pPr>
            <w:r>
              <w:rPr>
                <w:rFonts w:hint="eastAsia"/>
              </w:rPr>
              <w:t>项目支出</w:t>
            </w:r>
          </w:p>
        </w:tc>
        <w:tc>
          <w:tcPr>
            <w:tcW w:w="1361" w:type="dxa"/>
            <w:vMerge w:val="restart"/>
            <w:vAlign w:val="center"/>
          </w:tcPr>
          <w:p>
            <w:pPr>
              <w:pStyle w:val="16"/>
            </w:pPr>
            <w:r>
              <w:rPr>
                <w:rFonts w:hint="eastAsia"/>
              </w:rPr>
              <w:t>经营支出</w:t>
            </w:r>
          </w:p>
        </w:tc>
        <w:tc>
          <w:tcPr>
            <w:tcW w:w="1361" w:type="dxa"/>
            <w:vMerge w:val="restart"/>
            <w:vAlign w:val="center"/>
          </w:tcPr>
          <w:p>
            <w:pPr>
              <w:pStyle w:val="16"/>
            </w:pPr>
            <w:r>
              <w:rPr>
                <w:rFonts w:hint="eastAsia"/>
              </w:rPr>
              <w:t>上解上级</w:t>
            </w:r>
            <w:r>
              <w:t xml:space="preserve">     </w:t>
            </w:r>
            <w:r>
              <w:rPr>
                <w:rFonts w:hint="eastAsia"/>
              </w:rPr>
              <w:t>支出</w:t>
            </w:r>
          </w:p>
        </w:tc>
        <w:tc>
          <w:tcPr>
            <w:tcW w:w="1361" w:type="dxa"/>
            <w:vMerge w:val="restart"/>
            <w:vAlign w:val="center"/>
          </w:tcPr>
          <w:p>
            <w:pPr>
              <w:pStyle w:val="16"/>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6"/>
            </w:pPr>
            <w:r>
              <w:rPr>
                <w:rFonts w:hint="eastAsia"/>
              </w:rPr>
              <w:t>科目</w:t>
            </w:r>
            <w:r>
              <w:t xml:space="preserve">    </w:t>
            </w:r>
            <w:r>
              <w:rPr>
                <w:rFonts w:hint="eastAsia"/>
              </w:rPr>
              <w:t>编码</w:t>
            </w:r>
          </w:p>
        </w:tc>
        <w:tc>
          <w:tcPr>
            <w:tcW w:w="4536" w:type="dxa"/>
            <w:vAlign w:val="center"/>
          </w:tcPr>
          <w:p>
            <w:pPr>
              <w:pStyle w:val="16"/>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992" w:type="dxa"/>
            <w:vAlign w:val="center"/>
          </w:tcPr>
          <w:p>
            <w:pPr>
              <w:pStyle w:val="16"/>
            </w:pPr>
            <w:r>
              <w:t>1</w:t>
            </w:r>
          </w:p>
        </w:tc>
        <w:tc>
          <w:tcPr>
            <w:tcW w:w="4536"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992" w:type="dxa"/>
            <w:vAlign w:val="center"/>
          </w:tcPr>
          <w:p>
            <w:pPr>
              <w:pStyle w:val="22"/>
            </w:pPr>
          </w:p>
        </w:tc>
        <w:tc>
          <w:tcPr>
            <w:tcW w:w="4536" w:type="dxa"/>
            <w:vAlign w:val="center"/>
          </w:tcPr>
          <w:p>
            <w:pPr>
              <w:pStyle w:val="20"/>
            </w:pPr>
            <w:r>
              <w:rPr>
                <w:rFonts w:hint="eastAsia"/>
              </w:rPr>
              <w:t>合计</w:t>
            </w:r>
          </w:p>
        </w:tc>
        <w:tc>
          <w:tcPr>
            <w:tcW w:w="1361" w:type="dxa"/>
            <w:vAlign w:val="center"/>
          </w:tcPr>
          <w:p>
            <w:pPr>
              <w:pStyle w:val="21"/>
              <w:rPr>
                <w:rFonts w:hint="default" w:eastAsia="方正书宋_GBK"/>
                <w:lang w:val="en-US" w:eastAsia="zh-CN"/>
              </w:rPr>
            </w:pPr>
            <w:r>
              <w:rPr>
                <w:rFonts w:hint="eastAsia"/>
                <w:lang w:val="en-US" w:eastAsia="zh-CN"/>
              </w:rPr>
              <w:t>107.83</w:t>
            </w:r>
          </w:p>
        </w:tc>
        <w:tc>
          <w:tcPr>
            <w:tcW w:w="1361" w:type="dxa"/>
            <w:vAlign w:val="center"/>
          </w:tcPr>
          <w:p>
            <w:pPr>
              <w:pStyle w:val="21"/>
              <w:rPr>
                <w:rFonts w:hint="default" w:eastAsia="方正书宋_GBK"/>
                <w:lang w:val="en-US" w:eastAsia="zh-CN"/>
              </w:rPr>
            </w:pPr>
            <w:r>
              <w:rPr>
                <w:rFonts w:hint="eastAsia"/>
                <w:lang w:val="en-US" w:eastAsia="zh-CN"/>
              </w:rPr>
              <w:t>107.83</w:t>
            </w:r>
          </w:p>
        </w:tc>
        <w:tc>
          <w:tcPr>
            <w:tcW w:w="1361" w:type="dxa"/>
            <w:vAlign w:val="center"/>
          </w:tcPr>
          <w:p>
            <w:pPr>
              <w:pStyle w:val="21"/>
              <w:rPr>
                <w:rFonts w:hint="default"/>
                <w:lang w:val="en-US"/>
              </w:rPr>
            </w:pP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201</w:t>
            </w:r>
          </w:p>
        </w:tc>
        <w:tc>
          <w:tcPr>
            <w:tcW w:w="4536"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一般公共服务支出</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100.95</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100.95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20103</w:t>
            </w:r>
          </w:p>
        </w:tc>
        <w:tc>
          <w:tcPr>
            <w:tcW w:w="4536"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政府办公厅（室）及相关机构事务</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100.95</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100.95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2010301</w:t>
            </w:r>
          </w:p>
        </w:tc>
        <w:tc>
          <w:tcPr>
            <w:tcW w:w="4536"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行政运行</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100.95</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100.95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208</w:t>
            </w:r>
          </w:p>
        </w:tc>
        <w:tc>
          <w:tcPr>
            <w:tcW w:w="4536"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社会保障和就业支出</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3.57</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3.57</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20805</w:t>
            </w:r>
          </w:p>
        </w:tc>
        <w:tc>
          <w:tcPr>
            <w:tcW w:w="4536"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行政事业单位养老支出</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3.57</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3.57</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2080505</w:t>
            </w:r>
          </w:p>
        </w:tc>
        <w:tc>
          <w:tcPr>
            <w:tcW w:w="4536"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机关事业单位基本养老保险缴费支出</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3.57</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3.57</w:t>
            </w:r>
          </w:p>
        </w:tc>
        <w:tc>
          <w:tcPr>
            <w:tcW w:w="1361" w:type="dxa"/>
            <w:vAlign w:val="center"/>
          </w:tcPr>
          <w:p>
            <w:pPr>
              <w:pStyle w:val="17"/>
              <w:rPr>
                <w:rFonts w:hint="default"/>
                <w:lang w:val="en-US"/>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210</w:t>
            </w:r>
          </w:p>
        </w:tc>
        <w:tc>
          <w:tcPr>
            <w:tcW w:w="4536"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卫生健康支出</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1.35</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1.35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21011</w:t>
            </w:r>
          </w:p>
        </w:tc>
        <w:tc>
          <w:tcPr>
            <w:tcW w:w="4536"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行政事业单位医疗</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1.35</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1.35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2101102</w:t>
            </w:r>
          </w:p>
        </w:tc>
        <w:tc>
          <w:tcPr>
            <w:tcW w:w="4536"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事业单位医疗</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1.35</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1.35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221</w:t>
            </w:r>
          </w:p>
        </w:tc>
        <w:tc>
          <w:tcPr>
            <w:tcW w:w="4536"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住房保障支出</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1.96</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1.96</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22102</w:t>
            </w:r>
          </w:p>
        </w:tc>
        <w:tc>
          <w:tcPr>
            <w:tcW w:w="4536"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住房改革支出</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1.96</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1.96</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2210201</w:t>
            </w:r>
          </w:p>
        </w:tc>
        <w:tc>
          <w:tcPr>
            <w:tcW w:w="4536"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住房公积金</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1.96</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1.96</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809003涞水县胡家庄乡人民政府</w:t>
            </w:r>
          </w:p>
        </w:tc>
        <w:tc>
          <w:tcPr>
            <w:tcW w:w="3402"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896"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4876" w:type="dxa"/>
            <w:gridSpan w:val="2"/>
            <w:vAlign w:val="center"/>
          </w:tcPr>
          <w:p>
            <w:pPr>
              <w:pStyle w:val="16"/>
            </w:pPr>
            <w:r>
              <w:rPr>
                <w:rFonts w:hint="eastAsia"/>
              </w:rPr>
              <w:t>收入</w:t>
            </w:r>
          </w:p>
        </w:tc>
        <w:tc>
          <w:tcPr>
            <w:tcW w:w="9298" w:type="dxa"/>
            <w:gridSpan w:val="5"/>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金额</w:t>
            </w: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合计</w:t>
            </w:r>
          </w:p>
        </w:tc>
        <w:tc>
          <w:tcPr>
            <w:tcW w:w="1474" w:type="dxa"/>
            <w:vAlign w:val="center"/>
          </w:tcPr>
          <w:p>
            <w:pPr>
              <w:pStyle w:val="16"/>
            </w:pPr>
            <w:r>
              <w:rPr>
                <w:rFonts w:hint="eastAsia"/>
              </w:rPr>
              <w:t>一般公共预算财政拨款</w:t>
            </w:r>
          </w:p>
        </w:tc>
        <w:tc>
          <w:tcPr>
            <w:tcW w:w="1474" w:type="dxa"/>
            <w:vAlign w:val="center"/>
          </w:tcPr>
          <w:p>
            <w:pPr>
              <w:pStyle w:val="16"/>
            </w:pPr>
            <w:r>
              <w:rPr>
                <w:rFonts w:hint="eastAsia"/>
              </w:rPr>
              <w:t>政府性基金预算财政</w:t>
            </w:r>
            <w:r>
              <w:t xml:space="preserve">    </w:t>
            </w:r>
            <w:r>
              <w:rPr>
                <w:rFonts w:hint="eastAsia"/>
              </w:rPr>
              <w:t>拨款</w:t>
            </w:r>
          </w:p>
        </w:tc>
        <w:tc>
          <w:tcPr>
            <w:tcW w:w="1474" w:type="dxa"/>
            <w:vAlign w:val="center"/>
          </w:tcPr>
          <w:p>
            <w:pPr>
              <w:pStyle w:val="16"/>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402" w:type="dxa"/>
            <w:vAlign w:val="center"/>
          </w:tcPr>
          <w:p>
            <w:pPr>
              <w:pStyle w:val="18"/>
            </w:pPr>
            <w:r>
              <w:rPr>
                <w:rFonts w:hint="eastAsia"/>
              </w:rPr>
              <w:t>一、一般公共预算拨款</w:t>
            </w:r>
          </w:p>
        </w:tc>
        <w:tc>
          <w:tcPr>
            <w:tcW w:w="1474" w:type="dxa"/>
            <w:vAlign w:val="center"/>
          </w:tcPr>
          <w:p>
            <w:pPr>
              <w:pStyle w:val="17"/>
              <w:rPr>
                <w:rFonts w:hint="default" w:eastAsia="方正书宋_GBK"/>
                <w:lang w:val="en-US" w:eastAsia="zh-CN"/>
              </w:rPr>
            </w:pPr>
            <w:r>
              <w:rPr>
                <w:rFonts w:hint="eastAsia"/>
                <w:lang w:val="en-US" w:eastAsia="zh-CN"/>
              </w:rPr>
              <w:t>107.83</w:t>
            </w:r>
          </w:p>
        </w:tc>
        <w:tc>
          <w:tcPr>
            <w:tcW w:w="3402" w:type="dxa"/>
            <w:vAlign w:val="center"/>
          </w:tcPr>
          <w:p>
            <w:pPr>
              <w:pStyle w:val="18"/>
            </w:pPr>
            <w:r>
              <w:rPr>
                <w:rFonts w:hint="eastAsia"/>
              </w:rPr>
              <w:t>一、一般公共服务支出</w:t>
            </w:r>
          </w:p>
        </w:tc>
        <w:tc>
          <w:tcPr>
            <w:tcW w:w="1474" w:type="dxa"/>
            <w:vAlign w:val="center"/>
          </w:tcPr>
          <w:p>
            <w:pPr>
              <w:pStyle w:val="17"/>
              <w:rPr>
                <w:rFonts w:hint="default" w:eastAsia="方正书宋_GBK"/>
                <w:lang w:val="en-US" w:eastAsia="zh-CN"/>
              </w:rPr>
            </w:pPr>
            <w:r>
              <w:rPr>
                <w:rFonts w:hint="eastAsia"/>
                <w:lang w:val="en-US" w:eastAsia="zh-CN"/>
              </w:rPr>
              <w:t>100.95</w:t>
            </w:r>
          </w:p>
        </w:tc>
        <w:tc>
          <w:tcPr>
            <w:tcW w:w="1474" w:type="dxa"/>
            <w:vAlign w:val="center"/>
          </w:tcPr>
          <w:p>
            <w:pPr>
              <w:pStyle w:val="17"/>
              <w:rPr>
                <w:rFonts w:hint="default" w:eastAsia="方正书宋_GBK"/>
                <w:lang w:val="en-US" w:eastAsia="zh-CN"/>
              </w:rPr>
            </w:pPr>
            <w:r>
              <w:rPr>
                <w:rFonts w:hint="eastAsia"/>
                <w:lang w:val="en-US" w:eastAsia="zh-CN"/>
              </w:rPr>
              <w:t>100.95</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402" w:type="dxa"/>
            <w:vAlign w:val="center"/>
          </w:tcPr>
          <w:p>
            <w:pPr>
              <w:pStyle w:val="18"/>
            </w:pPr>
            <w:r>
              <w:rPr>
                <w:rFonts w:hint="eastAsia"/>
              </w:rPr>
              <w:t>二、政府性基金预算拨款</w:t>
            </w:r>
          </w:p>
        </w:tc>
        <w:tc>
          <w:tcPr>
            <w:tcW w:w="1474" w:type="dxa"/>
            <w:vAlign w:val="center"/>
          </w:tcPr>
          <w:p>
            <w:pPr>
              <w:pStyle w:val="17"/>
            </w:pPr>
          </w:p>
        </w:tc>
        <w:tc>
          <w:tcPr>
            <w:tcW w:w="3402" w:type="dxa"/>
            <w:vAlign w:val="center"/>
          </w:tcPr>
          <w:p>
            <w:pPr>
              <w:pStyle w:val="18"/>
            </w:pPr>
            <w:r>
              <w:rPr>
                <w:rFonts w:hint="eastAsia"/>
              </w:rPr>
              <w:t>二、外交支出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r>
              <w:rPr>
                <w:rFonts w:hint="eastAsia"/>
              </w:rPr>
              <w:t>三、国防支出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四、公共安全支出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五、教育支出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六、科学技术支出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七、文化旅游体育与传媒支出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八、社会保障和就业支出</w:t>
            </w:r>
          </w:p>
        </w:tc>
        <w:tc>
          <w:tcPr>
            <w:tcW w:w="1474" w:type="dxa"/>
            <w:vAlign w:val="center"/>
          </w:tcPr>
          <w:p>
            <w:pPr>
              <w:pStyle w:val="17"/>
              <w:rPr>
                <w:rFonts w:hint="default" w:eastAsia="方正书宋_GBK"/>
                <w:lang w:val="en-US" w:eastAsia="zh-CN"/>
              </w:rPr>
            </w:pPr>
            <w:r>
              <w:rPr>
                <w:rFonts w:hint="eastAsia"/>
                <w:lang w:val="en-US" w:eastAsia="zh-CN"/>
              </w:rPr>
              <w:t>3.57</w:t>
            </w:r>
          </w:p>
        </w:tc>
        <w:tc>
          <w:tcPr>
            <w:tcW w:w="1474" w:type="dxa"/>
            <w:vAlign w:val="center"/>
          </w:tcPr>
          <w:p>
            <w:pPr>
              <w:pStyle w:val="17"/>
              <w:rPr>
                <w:rFonts w:hint="default" w:eastAsia="方正书宋_GBK"/>
                <w:lang w:val="en-US" w:eastAsia="zh-CN"/>
              </w:rPr>
            </w:pPr>
            <w:r>
              <w:rPr>
                <w:rFonts w:hint="eastAsia"/>
                <w:lang w:val="en-US" w:eastAsia="zh-CN"/>
              </w:rPr>
              <w:t>3.57</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九、社会保险基金支出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十、卫生健康支出</w:t>
            </w:r>
          </w:p>
        </w:tc>
        <w:tc>
          <w:tcPr>
            <w:tcW w:w="1474" w:type="dxa"/>
            <w:vAlign w:val="center"/>
          </w:tcPr>
          <w:p>
            <w:pPr>
              <w:pStyle w:val="17"/>
              <w:rPr>
                <w:rFonts w:hint="default" w:eastAsia="方正书宋_GBK"/>
                <w:lang w:val="en-US" w:eastAsia="zh-CN"/>
              </w:rPr>
            </w:pPr>
            <w:r>
              <w:rPr>
                <w:rFonts w:hint="eastAsia"/>
                <w:lang w:val="en-US" w:eastAsia="zh-CN"/>
              </w:rPr>
              <w:t>1.35</w:t>
            </w:r>
          </w:p>
        </w:tc>
        <w:tc>
          <w:tcPr>
            <w:tcW w:w="1474" w:type="dxa"/>
            <w:vAlign w:val="center"/>
          </w:tcPr>
          <w:p>
            <w:pPr>
              <w:pStyle w:val="17"/>
              <w:rPr>
                <w:rFonts w:hint="default" w:eastAsia="方正书宋_GBK"/>
                <w:lang w:val="en-US" w:eastAsia="zh-CN"/>
              </w:rPr>
            </w:pPr>
            <w:r>
              <w:rPr>
                <w:rFonts w:hint="eastAsia"/>
                <w:lang w:val="en-US" w:eastAsia="zh-CN"/>
              </w:rPr>
              <w:t>1.35</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十一、节能环保支出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十二、城乡社区支出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十三、农林水支出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十四、交通运输支出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十五、资源勘探工业信息等支出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十六、商业服务业等支出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十七、金融支出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十八、援助其他地区支出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十九、自然资源海洋气象等支出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二十、住房保障支出</w:t>
            </w:r>
          </w:p>
        </w:tc>
        <w:tc>
          <w:tcPr>
            <w:tcW w:w="1474" w:type="dxa"/>
            <w:vAlign w:val="center"/>
          </w:tcPr>
          <w:p>
            <w:pPr>
              <w:pStyle w:val="17"/>
              <w:rPr>
                <w:rFonts w:hint="default" w:eastAsia="方正书宋_GBK"/>
                <w:lang w:val="en-US" w:eastAsia="zh-CN"/>
              </w:rPr>
            </w:pPr>
            <w:r>
              <w:rPr>
                <w:rFonts w:hint="eastAsia"/>
                <w:lang w:val="en-US" w:eastAsia="zh-CN"/>
              </w:rPr>
              <w:t>1.96</w:t>
            </w:r>
          </w:p>
        </w:tc>
        <w:tc>
          <w:tcPr>
            <w:tcW w:w="1474" w:type="dxa"/>
            <w:vAlign w:val="center"/>
          </w:tcPr>
          <w:p>
            <w:pPr>
              <w:pStyle w:val="17"/>
              <w:rPr>
                <w:rFonts w:hint="default" w:eastAsia="方正书宋_GBK"/>
                <w:lang w:val="en-US" w:eastAsia="zh-CN"/>
              </w:rPr>
            </w:pPr>
            <w:r>
              <w:rPr>
                <w:rFonts w:hint="eastAsia"/>
                <w:lang w:val="en-US" w:eastAsia="zh-CN"/>
              </w:rPr>
              <w:t>1.96</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二十一、粮油物资储备支出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二十二、国有资本经营预算支出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二十三、灾害防治及应急管理支出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二十四、预备费</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二十五、其他支出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二十六、转移性支出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二十七、债务还本支出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二十八、债务付息支出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二十九、债务发行费用支出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三十、抗疫特别国债安排的支出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20"/>
            </w:pPr>
            <w:r>
              <w:rPr>
                <w:rFonts w:hint="eastAsia"/>
              </w:rPr>
              <w:t>本年收入合计</w:t>
            </w:r>
          </w:p>
        </w:tc>
        <w:tc>
          <w:tcPr>
            <w:tcW w:w="1474" w:type="dxa"/>
            <w:vAlign w:val="center"/>
          </w:tcPr>
          <w:p>
            <w:pPr>
              <w:pStyle w:val="21"/>
              <w:rPr>
                <w:rFonts w:hint="default"/>
                <w:lang w:val="en-US"/>
              </w:rPr>
            </w:pPr>
            <w:r>
              <w:rPr>
                <w:rFonts w:hint="eastAsia"/>
                <w:lang w:val="en-US" w:eastAsia="zh-CN"/>
              </w:rPr>
              <w:t>107.83</w:t>
            </w:r>
          </w:p>
        </w:tc>
        <w:tc>
          <w:tcPr>
            <w:tcW w:w="3402" w:type="dxa"/>
            <w:vAlign w:val="center"/>
          </w:tcPr>
          <w:p>
            <w:pPr>
              <w:pStyle w:val="20"/>
            </w:pPr>
            <w:r>
              <w:rPr>
                <w:rFonts w:hint="eastAsia"/>
              </w:rPr>
              <w:t>本年支出合计</w:t>
            </w:r>
          </w:p>
        </w:tc>
        <w:tc>
          <w:tcPr>
            <w:tcW w:w="1474" w:type="dxa"/>
            <w:vAlign w:val="center"/>
          </w:tcPr>
          <w:p>
            <w:pPr>
              <w:pStyle w:val="21"/>
              <w:rPr>
                <w:rFonts w:hint="default"/>
                <w:lang w:val="en-US"/>
              </w:rPr>
            </w:pPr>
            <w:r>
              <w:rPr>
                <w:rFonts w:hint="eastAsia"/>
                <w:lang w:val="en-US" w:eastAsia="zh-CN"/>
              </w:rPr>
              <w:t>107.83</w:t>
            </w:r>
          </w:p>
        </w:tc>
        <w:tc>
          <w:tcPr>
            <w:tcW w:w="1474" w:type="dxa"/>
            <w:vAlign w:val="center"/>
          </w:tcPr>
          <w:p>
            <w:pPr>
              <w:pStyle w:val="21"/>
              <w:rPr>
                <w:rFonts w:hint="default" w:eastAsia="方正书宋_GBK"/>
                <w:lang w:val="en-US" w:eastAsia="zh-CN"/>
              </w:rPr>
            </w:pPr>
            <w:r>
              <w:rPr>
                <w:rFonts w:hint="eastAsia"/>
                <w:lang w:val="en-US" w:eastAsia="zh-CN"/>
              </w:rPr>
              <w:t>107.83</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402" w:type="dxa"/>
            <w:vAlign w:val="center"/>
          </w:tcPr>
          <w:p>
            <w:pPr>
              <w:pStyle w:val="18"/>
            </w:pPr>
            <w:r>
              <w:rPr>
                <w:rFonts w:hint="eastAsia"/>
              </w:rPr>
              <w:t>年初财政拨款结转和结余</w:t>
            </w:r>
          </w:p>
        </w:tc>
        <w:tc>
          <w:tcPr>
            <w:tcW w:w="1474" w:type="dxa"/>
            <w:vAlign w:val="center"/>
          </w:tcPr>
          <w:p>
            <w:pPr>
              <w:pStyle w:val="17"/>
            </w:pPr>
          </w:p>
        </w:tc>
        <w:tc>
          <w:tcPr>
            <w:tcW w:w="3402" w:type="dxa"/>
            <w:vAlign w:val="center"/>
          </w:tcPr>
          <w:p>
            <w:pPr>
              <w:pStyle w:val="18"/>
            </w:pPr>
            <w:r>
              <w:rPr>
                <w:rFonts w:hint="eastAsia"/>
              </w:rPr>
              <w:t>年末财政拨款结转和结余</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rPr>
                <w:rFonts w:hint="eastAsia"/>
              </w:rPr>
              <w:t>一、一般公共预算拨款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vAlign w:val="center"/>
          </w:tcPr>
          <w:p>
            <w:pPr>
              <w:pStyle w:val="18"/>
            </w:pPr>
            <w:r>
              <w:rPr>
                <w:rFonts w:hint="eastAsia"/>
              </w:rPr>
              <w:t>二、政府性基金预算拨款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402" w:type="dxa"/>
            <w:vAlign w:val="center"/>
          </w:tcPr>
          <w:p>
            <w:pPr>
              <w:pStyle w:val="20"/>
            </w:pPr>
            <w:r>
              <w:rPr>
                <w:rFonts w:hint="eastAsia"/>
              </w:rPr>
              <w:t>收入总计</w:t>
            </w:r>
          </w:p>
        </w:tc>
        <w:tc>
          <w:tcPr>
            <w:tcW w:w="1474" w:type="dxa"/>
            <w:vAlign w:val="center"/>
          </w:tcPr>
          <w:p>
            <w:pPr>
              <w:pStyle w:val="21"/>
              <w:rPr>
                <w:rFonts w:hint="default"/>
                <w:lang w:val="en-US"/>
              </w:rPr>
            </w:pPr>
            <w:r>
              <w:rPr>
                <w:rFonts w:hint="eastAsia"/>
                <w:lang w:val="en-US" w:eastAsia="zh-CN"/>
              </w:rPr>
              <w:t>107.83</w:t>
            </w:r>
          </w:p>
        </w:tc>
        <w:tc>
          <w:tcPr>
            <w:tcW w:w="3402" w:type="dxa"/>
            <w:vAlign w:val="center"/>
          </w:tcPr>
          <w:p>
            <w:pPr>
              <w:pStyle w:val="20"/>
              <w:rPr>
                <w:rFonts w:hint="default"/>
                <w:lang w:val="en-US"/>
              </w:rPr>
            </w:pPr>
          </w:p>
        </w:tc>
        <w:tc>
          <w:tcPr>
            <w:tcW w:w="1474" w:type="dxa"/>
            <w:vAlign w:val="center"/>
          </w:tcPr>
          <w:p>
            <w:pPr>
              <w:pStyle w:val="21"/>
              <w:rPr>
                <w:rFonts w:hint="default"/>
                <w:lang w:val="en-US"/>
              </w:rPr>
            </w:pPr>
            <w:r>
              <w:rPr>
                <w:rFonts w:hint="eastAsia"/>
                <w:lang w:val="en-US" w:eastAsia="zh-CN"/>
              </w:rPr>
              <w:t>107.83</w:t>
            </w:r>
          </w:p>
        </w:tc>
        <w:tc>
          <w:tcPr>
            <w:tcW w:w="1474" w:type="dxa"/>
            <w:vAlign w:val="center"/>
          </w:tcPr>
          <w:p>
            <w:pPr>
              <w:pStyle w:val="21"/>
              <w:rPr>
                <w:rFonts w:hint="default" w:eastAsia="方正书宋_GBK"/>
                <w:lang w:val="en-US" w:eastAsia="zh-CN"/>
              </w:rPr>
            </w:pPr>
            <w:r>
              <w:rPr>
                <w:rFonts w:hint="eastAsia"/>
                <w:lang w:val="en-US" w:eastAsia="zh-CN"/>
              </w:rPr>
              <w:t>107.83</w:t>
            </w:r>
          </w:p>
        </w:tc>
        <w:tc>
          <w:tcPr>
            <w:tcW w:w="1474" w:type="dxa"/>
            <w:vAlign w:val="center"/>
          </w:tcPr>
          <w:p>
            <w:pPr>
              <w:pStyle w:val="21"/>
            </w:pPr>
          </w:p>
        </w:tc>
        <w:tc>
          <w:tcPr>
            <w:tcW w:w="1474" w:type="dxa"/>
            <w:vAlign w:val="center"/>
          </w:tcPr>
          <w:p>
            <w:pPr>
              <w:pStyle w:val="21"/>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809003涞水县胡家庄乡人民政府</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rPr>
                <w:rFonts w:hint="eastAsia"/>
              </w:rPr>
              <w:t>合计</w:t>
            </w:r>
          </w:p>
        </w:tc>
        <w:tc>
          <w:tcPr>
            <w:tcW w:w="2551" w:type="dxa"/>
            <w:vAlign w:val="center"/>
          </w:tcPr>
          <w:p>
            <w:pPr>
              <w:pStyle w:val="21"/>
              <w:rPr>
                <w:rFonts w:hint="default" w:eastAsia="方正书宋_GBK"/>
                <w:sz w:val="24"/>
                <w:szCs w:val="24"/>
                <w:lang w:val="en-US" w:eastAsia="zh-CN"/>
              </w:rPr>
            </w:pPr>
            <w:r>
              <w:rPr>
                <w:rFonts w:hint="eastAsia"/>
                <w:lang w:val="en-US" w:eastAsia="zh-CN"/>
              </w:rPr>
              <w:t>107.83</w:t>
            </w:r>
          </w:p>
        </w:tc>
        <w:tc>
          <w:tcPr>
            <w:tcW w:w="2551" w:type="dxa"/>
            <w:vAlign w:val="center"/>
          </w:tcPr>
          <w:p>
            <w:pPr>
              <w:pStyle w:val="21"/>
              <w:rPr>
                <w:rFonts w:hint="default" w:eastAsia="方正书宋_GBK"/>
                <w:sz w:val="24"/>
                <w:szCs w:val="24"/>
                <w:lang w:val="en-US" w:eastAsia="zh-CN"/>
              </w:rPr>
            </w:pPr>
            <w:r>
              <w:rPr>
                <w:rFonts w:hint="eastAsia"/>
                <w:lang w:val="en-US" w:eastAsia="zh-CN"/>
              </w:rPr>
              <w:t>107.83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201</w:t>
            </w:r>
          </w:p>
        </w:tc>
        <w:tc>
          <w:tcPr>
            <w:tcW w:w="4535"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一般公共服务支出</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100.95</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100.95</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20103</w:t>
            </w:r>
          </w:p>
        </w:tc>
        <w:tc>
          <w:tcPr>
            <w:tcW w:w="4535"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政府办公厅（室）及相关机构事务</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100.95</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100.95</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2010301</w:t>
            </w:r>
          </w:p>
        </w:tc>
        <w:tc>
          <w:tcPr>
            <w:tcW w:w="4535"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行政运行</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100.95</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100.95</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w:t>
            </w:r>
          </w:p>
        </w:tc>
        <w:tc>
          <w:tcPr>
            <w:tcW w:w="4535"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社会保障和就业支出</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3.57</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3.57</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20805</w:t>
            </w:r>
          </w:p>
        </w:tc>
        <w:tc>
          <w:tcPr>
            <w:tcW w:w="4535"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行政事业单位养老支出</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3.57</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3.57</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2080505</w:t>
            </w:r>
          </w:p>
        </w:tc>
        <w:tc>
          <w:tcPr>
            <w:tcW w:w="4535"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机关事业单位基本养老保险缴费支出</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3.57</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3.57</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210</w:t>
            </w:r>
          </w:p>
        </w:tc>
        <w:tc>
          <w:tcPr>
            <w:tcW w:w="4535"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卫生健康支出</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1.35</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1.35</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21011</w:t>
            </w:r>
          </w:p>
        </w:tc>
        <w:tc>
          <w:tcPr>
            <w:tcW w:w="4535"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行政事业单位医疗</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1.35</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1.35</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2101102</w:t>
            </w:r>
          </w:p>
        </w:tc>
        <w:tc>
          <w:tcPr>
            <w:tcW w:w="4535"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事业单位医疗</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1.35</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1.35</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221</w:t>
            </w:r>
          </w:p>
        </w:tc>
        <w:tc>
          <w:tcPr>
            <w:tcW w:w="4535"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住房保障支出</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1.96</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1.96</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22102</w:t>
            </w:r>
          </w:p>
        </w:tc>
        <w:tc>
          <w:tcPr>
            <w:tcW w:w="4535"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住房改革支出</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1.96</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1.96</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2210201</w:t>
            </w:r>
          </w:p>
        </w:tc>
        <w:tc>
          <w:tcPr>
            <w:tcW w:w="4535"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住房公积金</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1.96</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1.96</w:t>
            </w:r>
          </w:p>
        </w:tc>
        <w:tc>
          <w:tcPr>
            <w:tcW w:w="2551" w:type="dxa"/>
            <w:vAlign w:val="center"/>
          </w:tcPr>
          <w:p>
            <w:pPr>
              <w:pStyle w:val="17"/>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809003涞水县胡家庄乡人民政府</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3"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支出部门经济分类科目</w:t>
            </w:r>
          </w:p>
        </w:tc>
        <w:tc>
          <w:tcPr>
            <w:tcW w:w="7654" w:type="dxa"/>
            <w:gridSpan w:val="3"/>
            <w:vAlign w:val="center"/>
          </w:tcPr>
          <w:p>
            <w:pPr>
              <w:pStyle w:val="16"/>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Align w:val="center"/>
          </w:tcPr>
          <w:p>
            <w:pPr>
              <w:pStyle w:val="16"/>
            </w:pPr>
            <w:r>
              <w:rPr>
                <w:rFonts w:hint="eastAsia"/>
              </w:rPr>
              <w:t>合计</w:t>
            </w:r>
          </w:p>
        </w:tc>
        <w:tc>
          <w:tcPr>
            <w:tcW w:w="2551" w:type="dxa"/>
            <w:vAlign w:val="center"/>
          </w:tcPr>
          <w:p>
            <w:pPr>
              <w:pStyle w:val="16"/>
            </w:pPr>
            <w:r>
              <w:rPr>
                <w:rFonts w:hint="eastAsia"/>
              </w:rPr>
              <w:t>人员经费</w:t>
            </w:r>
          </w:p>
        </w:tc>
        <w:tc>
          <w:tcPr>
            <w:tcW w:w="2552" w:type="dxa"/>
            <w:vAlign w:val="center"/>
          </w:tcPr>
          <w:p>
            <w:pPr>
              <w:pStyle w:val="16"/>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2"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rPr>
                <w:rFonts w:hint="eastAsia"/>
              </w:rPr>
              <w:t>合计</w:t>
            </w:r>
          </w:p>
        </w:tc>
        <w:tc>
          <w:tcPr>
            <w:tcW w:w="2551" w:type="dxa"/>
            <w:vAlign w:val="center"/>
          </w:tcPr>
          <w:p>
            <w:pPr>
              <w:pStyle w:val="21"/>
              <w:rPr>
                <w:rFonts w:hint="default" w:eastAsia="方正书宋_GBK"/>
                <w:lang w:val="en-US" w:eastAsia="zh-CN"/>
              </w:rPr>
            </w:pPr>
            <w:r>
              <w:rPr>
                <w:rFonts w:hint="eastAsia"/>
                <w:lang w:val="en-US" w:eastAsia="zh-CN"/>
              </w:rPr>
              <w:t>107.83</w:t>
            </w:r>
          </w:p>
        </w:tc>
        <w:tc>
          <w:tcPr>
            <w:tcW w:w="2551" w:type="dxa"/>
            <w:vAlign w:val="center"/>
          </w:tcPr>
          <w:p>
            <w:pPr>
              <w:pStyle w:val="21"/>
              <w:rPr>
                <w:rFonts w:hint="default" w:eastAsia="方正书宋_GBK"/>
                <w:lang w:val="en-US" w:eastAsia="zh-CN"/>
              </w:rPr>
            </w:pPr>
          </w:p>
        </w:tc>
        <w:tc>
          <w:tcPr>
            <w:tcW w:w="2552" w:type="dxa"/>
            <w:vAlign w:val="center"/>
          </w:tcPr>
          <w:p>
            <w:pPr>
              <w:pStyle w:val="21"/>
              <w:rPr>
                <w:rFonts w:hint="default" w:eastAsia="方正书宋_GBK"/>
                <w:lang w:val="en-US" w:eastAsia="zh-CN"/>
              </w:rPr>
            </w:pPr>
            <w:r>
              <w:rPr>
                <w:rFonts w:hint="eastAsia"/>
                <w:lang w:val="en-US" w:eastAsia="zh-CN"/>
              </w:rPr>
              <w:t>7.24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850" w:type="dxa"/>
            <w:vAlign w:val="center"/>
          </w:tcPr>
          <w:p>
            <w:pPr>
              <w:pStyle w:val="19"/>
            </w:pPr>
            <w:r>
              <w:t>2</w:t>
            </w:r>
          </w:p>
        </w:tc>
        <w:tc>
          <w:tcPr>
            <w:tcW w:w="1191" w:type="dxa"/>
            <w:vAlign w:val="top"/>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w:t>
            </w:r>
          </w:p>
        </w:tc>
        <w:tc>
          <w:tcPr>
            <w:tcW w:w="4535" w:type="dxa"/>
            <w:vAlign w:val="top"/>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工资福利支出</w:t>
            </w:r>
          </w:p>
        </w:tc>
        <w:tc>
          <w:tcPr>
            <w:tcW w:w="2551" w:type="dxa"/>
            <w:vAlign w:val="top"/>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101.32</w:t>
            </w:r>
          </w:p>
        </w:tc>
        <w:tc>
          <w:tcPr>
            <w:tcW w:w="2551" w:type="dxa"/>
            <w:vAlign w:val="top"/>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101.32</w:t>
            </w:r>
          </w:p>
        </w:tc>
        <w:tc>
          <w:tcPr>
            <w:tcW w:w="2552" w:type="dxa"/>
            <w:vAlign w:val="top"/>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top"/>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30101</w:t>
            </w:r>
          </w:p>
        </w:tc>
        <w:tc>
          <w:tcPr>
            <w:tcW w:w="4535" w:type="dxa"/>
            <w:vAlign w:val="top"/>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基本工资</w:t>
            </w:r>
          </w:p>
        </w:tc>
        <w:tc>
          <w:tcPr>
            <w:tcW w:w="2551" w:type="dxa"/>
            <w:vAlign w:val="top"/>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77.92</w:t>
            </w:r>
          </w:p>
        </w:tc>
        <w:tc>
          <w:tcPr>
            <w:tcW w:w="2551" w:type="dxa"/>
            <w:vAlign w:val="top"/>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77.92</w:t>
            </w:r>
          </w:p>
        </w:tc>
        <w:tc>
          <w:tcPr>
            <w:tcW w:w="2552" w:type="dxa"/>
            <w:vAlign w:val="top"/>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top"/>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30102</w:t>
            </w:r>
          </w:p>
        </w:tc>
        <w:tc>
          <w:tcPr>
            <w:tcW w:w="4535" w:type="dxa"/>
            <w:vAlign w:val="top"/>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津贴补贴</w:t>
            </w:r>
          </w:p>
        </w:tc>
        <w:tc>
          <w:tcPr>
            <w:tcW w:w="2551" w:type="dxa"/>
            <w:vAlign w:val="top"/>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8.81</w:t>
            </w:r>
          </w:p>
        </w:tc>
        <w:tc>
          <w:tcPr>
            <w:tcW w:w="2551" w:type="dxa"/>
            <w:vAlign w:val="top"/>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8.81</w:t>
            </w:r>
          </w:p>
        </w:tc>
        <w:tc>
          <w:tcPr>
            <w:tcW w:w="2552" w:type="dxa"/>
            <w:vAlign w:val="top"/>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top"/>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30107</w:t>
            </w:r>
          </w:p>
        </w:tc>
        <w:tc>
          <w:tcPr>
            <w:tcW w:w="4535" w:type="dxa"/>
            <w:vAlign w:val="top"/>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绩效工资</w:t>
            </w:r>
          </w:p>
        </w:tc>
        <w:tc>
          <w:tcPr>
            <w:tcW w:w="2551" w:type="dxa"/>
            <w:vAlign w:val="top"/>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7.60</w:t>
            </w:r>
          </w:p>
        </w:tc>
        <w:tc>
          <w:tcPr>
            <w:tcW w:w="2551" w:type="dxa"/>
            <w:vAlign w:val="top"/>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7.60</w:t>
            </w:r>
          </w:p>
        </w:tc>
        <w:tc>
          <w:tcPr>
            <w:tcW w:w="2552" w:type="dxa"/>
            <w:vAlign w:val="top"/>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top"/>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30108</w:t>
            </w:r>
          </w:p>
        </w:tc>
        <w:tc>
          <w:tcPr>
            <w:tcW w:w="4535" w:type="dxa"/>
            <w:vAlign w:val="top"/>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机关事业单位基本养老保险缴费</w:t>
            </w:r>
          </w:p>
        </w:tc>
        <w:tc>
          <w:tcPr>
            <w:tcW w:w="2551" w:type="dxa"/>
            <w:vAlign w:val="top"/>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3.57</w:t>
            </w:r>
          </w:p>
        </w:tc>
        <w:tc>
          <w:tcPr>
            <w:tcW w:w="2551" w:type="dxa"/>
            <w:vAlign w:val="top"/>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3.57</w:t>
            </w:r>
          </w:p>
        </w:tc>
        <w:tc>
          <w:tcPr>
            <w:tcW w:w="2552" w:type="dxa"/>
            <w:vAlign w:val="top"/>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top"/>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30110</w:t>
            </w:r>
          </w:p>
        </w:tc>
        <w:tc>
          <w:tcPr>
            <w:tcW w:w="4535" w:type="dxa"/>
            <w:vAlign w:val="top"/>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城镇职工基本医疗保险缴费</w:t>
            </w:r>
          </w:p>
        </w:tc>
        <w:tc>
          <w:tcPr>
            <w:tcW w:w="2551" w:type="dxa"/>
            <w:vAlign w:val="top"/>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1.35</w:t>
            </w:r>
          </w:p>
        </w:tc>
        <w:tc>
          <w:tcPr>
            <w:tcW w:w="2551" w:type="dxa"/>
            <w:vAlign w:val="top"/>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1.35</w:t>
            </w:r>
          </w:p>
        </w:tc>
        <w:tc>
          <w:tcPr>
            <w:tcW w:w="2552" w:type="dxa"/>
            <w:vAlign w:val="top"/>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top"/>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30112</w:t>
            </w:r>
          </w:p>
        </w:tc>
        <w:tc>
          <w:tcPr>
            <w:tcW w:w="4535" w:type="dxa"/>
            <w:vAlign w:val="top"/>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其他社会保障缴费</w:t>
            </w:r>
          </w:p>
        </w:tc>
        <w:tc>
          <w:tcPr>
            <w:tcW w:w="2551" w:type="dxa"/>
            <w:vAlign w:val="top"/>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0.11</w:t>
            </w:r>
          </w:p>
        </w:tc>
        <w:tc>
          <w:tcPr>
            <w:tcW w:w="2551" w:type="dxa"/>
            <w:vAlign w:val="top"/>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0.11</w:t>
            </w:r>
          </w:p>
        </w:tc>
        <w:tc>
          <w:tcPr>
            <w:tcW w:w="2552" w:type="dxa"/>
            <w:vAlign w:val="top"/>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top"/>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30113</w:t>
            </w:r>
          </w:p>
        </w:tc>
        <w:tc>
          <w:tcPr>
            <w:tcW w:w="4535" w:type="dxa"/>
            <w:vAlign w:val="top"/>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住房公积金</w:t>
            </w:r>
          </w:p>
        </w:tc>
        <w:tc>
          <w:tcPr>
            <w:tcW w:w="2551" w:type="dxa"/>
            <w:vAlign w:val="top"/>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1.96</w:t>
            </w:r>
          </w:p>
        </w:tc>
        <w:tc>
          <w:tcPr>
            <w:tcW w:w="2551" w:type="dxa"/>
            <w:vAlign w:val="top"/>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1.96</w:t>
            </w:r>
          </w:p>
        </w:tc>
        <w:tc>
          <w:tcPr>
            <w:tcW w:w="2552" w:type="dxa"/>
            <w:vAlign w:val="top"/>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top"/>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w:t>
            </w:r>
          </w:p>
        </w:tc>
        <w:tc>
          <w:tcPr>
            <w:tcW w:w="4535" w:type="dxa"/>
            <w:vAlign w:val="top"/>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商品和服务支出</w:t>
            </w:r>
          </w:p>
        </w:tc>
        <w:tc>
          <w:tcPr>
            <w:tcW w:w="2551" w:type="dxa"/>
            <w:vAlign w:val="top"/>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6.51</w:t>
            </w:r>
          </w:p>
        </w:tc>
        <w:tc>
          <w:tcPr>
            <w:tcW w:w="2551" w:type="dxa"/>
            <w:vAlign w:val="top"/>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6.51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top"/>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30201</w:t>
            </w:r>
          </w:p>
        </w:tc>
        <w:tc>
          <w:tcPr>
            <w:tcW w:w="4535" w:type="dxa"/>
            <w:vAlign w:val="top"/>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办公费</w:t>
            </w:r>
          </w:p>
        </w:tc>
        <w:tc>
          <w:tcPr>
            <w:tcW w:w="2551" w:type="dxa"/>
            <w:vAlign w:val="top"/>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3.08</w:t>
            </w:r>
          </w:p>
        </w:tc>
        <w:tc>
          <w:tcPr>
            <w:tcW w:w="2551" w:type="dxa"/>
            <w:vAlign w:val="top"/>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top"/>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30211</w:t>
            </w:r>
          </w:p>
        </w:tc>
        <w:tc>
          <w:tcPr>
            <w:tcW w:w="4535" w:type="dxa"/>
            <w:vAlign w:val="top"/>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差旅费</w:t>
            </w:r>
          </w:p>
        </w:tc>
        <w:tc>
          <w:tcPr>
            <w:tcW w:w="2551" w:type="dxa"/>
            <w:vAlign w:val="top"/>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1.40</w:t>
            </w:r>
          </w:p>
        </w:tc>
        <w:tc>
          <w:tcPr>
            <w:tcW w:w="2551" w:type="dxa"/>
            <w:vAlign w:val="top"/>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top"/>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30228</w:t>
            </w:r>
          </w:p>
        </w:tc>
        <w:tc>
          <w:tcPr>
            <w:tcW w:w="4535" w:type="dxa"/>
            <w:vAlign w:val="top"/>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工会经费</w:t>
            </w:r>
          </w:p>
        </w:tc>
        <w:tc>
          <w:tcPr>
            <w:tcW w:w="2551" w:type="dxa"/>
            <w:vAlign w:val="top"/>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0.86</w:t>
            </w:r>
          </w:p>
        </w:tc>
        <w:tc>
          <w:tcPr>
            <w:tcW w:w="2551" w:type="dxa"/>
            <w:vAlign w:val="top"/>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91" w:type="dxa"/>
            <w:vAlign w:val="top"/>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30229</w:t>
            </w:r>
          </w:p>
        </w:tc>
        <w:tc>
          <w:tcPr>
            <w:tcW w:w="4535" w:type="dxa"/>
            <w:vAlign w:val="top"/>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福利费</w:t>
            </w:r>
          </w:p>
        </w:tc>
        <w:tc>
          <w:tcPr>
            <w:tcW w:w="2551" w:type="dxa"/>
            <w:vAlign w:val="top"/>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1.17</w:t>
            </w:r>
          </w:p>
        </w:tc>
        <w:tc>
          <w:tcPr>
            <w:tcW w:w="2551" w:type="dxa"/>
            <w:vAlign w:val="top"/>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1.17</w:t>
            </w:r>
          </w:p>
        </w:tc>
      </w:tr>
    </w:tbl>
    <w:p>
      <w:pPr>
        <w:rPr>
          <w:rFonts w:hint="eastAsia"/>
          <w:lang w:eastAsia="zh-CN"/>
        </w:rPr>
        <w:sectPr>
          <w:type w:val="continuous"/>
          <w:pgSz w:w="16840" w:h="11900" w:orient="landscape"/>
          <w:pgMar w:top="1361" w:right="1021" w:bottom="1134" w:left="1021" w:header="720" w:footer="720" w:gutter="0"/>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809003涞水县胡家庄乡人民政府</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809003涞水县胡家庄乡人民政府</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809003涞水县胡家庄乡人民政府</w:t>
            </w:r>
          </w:p>
        </w:tc>
        <w:tc>
          <w:tcPr>
            <w:tcW w:w="238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3798" w:type="dxa"/>
            <w:vMerge w:val="restart"/>
            <w:vAlign w:val="center"/>
          </w:tcPr>
          <w:p>
            <w:pPr>
              <w:pStyle w:val="16"/>
            </w:pPr>
            <w:r>
              <w:rPr>
                <w:rFonts w:hint="eastAsia"/>
              </w:rPr>
              <w:t>项</w:t>
            </w:r>
            <w:r>
              <w:t xml:space="preserve">  </w:t>
            </w:r>
            <w:r>
              <w:rPr>
                <w:rFonts w:hint="eastAsia"/>
              </w:rPr>
              <w:t>目</w:t>
            </w:r>
          </w:p>
        </w:tc>
        <w:tc>
          <w:tcPr>
            <w:tcW w:w="9524" w:type="dxa"/>
            <w:gridSpan w:val="4"/>
            <w:vAlign w:val="center"/>
          </w:tcPr>
          <w:p>
            <w:pPr>
              <w:pStyle w:val="16"/>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6"/>
            </w:pPr>
            <w:r>
              <w:rPr>
                <w:rFonts w:hint="eastAsia"/>
              </w:rPr>
              <w:t>合计</w:t>
            </w:r>
          </w:p>
        </w:tc>
        <w:tc>
          <w:tcPr>
            <w:tcW w:w="2381" w:type="dxa"/>
            <w:vAlign w:val="center"/>
          </w:tcPr>
          <w:p>
            <w:pPr>
              <w:pStyle w:val="16"/>
            </w:pPr>
            <w:r>
              <w:rPr>
                <w:rFonts w:hint="eastAsia"/>
              </w:rPr>
              <w:t>一般公共预算</w:t>
            </w:r>
            <w:r>
              <w:t xml:space="preserve">              </w:t>
            </w:r>
            <w:r>
              <w:rPr>
                <w:rFonts w:hint="eastAsia"/>
              </w:rPr>
              <w:t>财政拨款</w:t>
            </w:r>
          </w:p>
        </w:tc>
        <w:tc>
          <w:tcPr>
            <w:tcW w:w="2381" w:type="dxa"/>
            <w:vAlign w:val="center"/>
          </w:tcPr>
          <w:p>
            <w:pPr>
              <w:pStyle w:val="16"/>
            </w:pPr>
            <w:r>
              <w:rPr>
                <w:rFonts w:hint="eastAsia"/>
              </w:rPr>
              <w:t>政府性基金</w:t>
            </w:r>
            <w:r>
              <w:t xml:space="preserve">                  </w:t>
            </w:r>
            <w:r>
              <w:rPr>
                <w:rFonts w:hint="eastAsia"/>
              </w:rPr>
              <w:t>预算拨款</w:t>
            </w:r>
          </w:p>
        </w:tc>
        <w:tc>
          <w:tcPr>
            <w:tcW w:w="2381" w:type="dxa"/>
            <w:vAlign w:val="center"/>
          </w:tcPr>
          <w:p>
            <w:pPr>
              <w:pStyle w:val="16"/>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rPr>
                <w:rFonts w:hint="eastAsia"/>
              </w:rPr>
              <w:t>栏次</w:t>
            </w:r>
          </w:p>
        </w:tc>
        <w:tc>
          <w:tcPr>
            <w:tcW w:w="3798" w:type="dxa"/>
            <w:vAlign w:val="center"/>
          </w:tcPr>
          <w:p>
            <w:pPr>
              <w:pStyle w:val="16"/>
            </w:pPr>
            <w:r>
              <w:t>1</w:t>
            </w:r>
          </w:p>
        </w:tc>
        <w:tc>
          <w:tcPr>
            <w:tcW w:w="2381"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p>
        </w:tc>
        <w:tc>
          <w:tcPr>
            <w:tcW w:w="3798" w:type="dxa"/>
            <w:vAlign w:val="center"/>
          </w:tcPr>
          <w:p>
            <w:pPr>
              <w:pStyle w:val="18"/>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bl>
    <w:p>
      <w:pPr>
        <w:ind w:firstLine="420"/>
        <w:sectPr>
          <w:type w:val="continuous"/>
          <w:pgSz w:w="16840" w:h="11900" w:orient="landscape"/>
          <w:pgMar w:top="1361" w:right="1021" w:bottom="1361" w:left="1021" w:header="720" w:footer="720" w:gutter="0"/>
          <w:cols w:space="720" w:num="1"/>
        </w:sectPr>
      </w:pPr>
      <w:r>
        <w:rPr>
          <w:rFonts w:hint="eastAsia" w:ascii="方正书宋_GBK" w:hAnsi="方正书宋_GBK" w:eastAsia="方正书宋_GBK" w:cs="方正书宋_GBK"/>
          <w:color w:val="000000"/>
          <w:sz w:val="21"/>
        </w:rPr>
        <w:t>注：无财政拨款“三公”经费支出表预算，空表列示。</w:t>
      </w:r>
    </w:p>
    <w:p>
      <w:pPr>
        <w:jc w:val="center"/>
        <w:outlineLvl w:val="4"/>
        <w:rPr>
          <w:rFonts w:ascii="方正小标宋_GBK" w:hAnsi="方正小标宋_GBK" w:cs="方正小标宋_GBK" w:eastAsiaTheme="minorEastAsia"/>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涞水县胡家庄乡人民政府</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《中华人民共和国预算法》</w:t>
      </w:r>
      <w:r>
        <w:rPr>
          <w:rFonts w:hint="eastAsia"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涞水县胡家庄乡人民政府</w:t>
      </w:r>
      <w:r>
        <w:rPr>
          <w:rFonts w:eastAsia="方正仿宋_GBK"/>
          <w:color w:val="000000"/>
          <w:sz w:val="28"/>
        </w:rPr>
        <w:t>2022</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pPr>
      <w:r>
        <w:rPr>
          <w:rFonts w:hint="eastAsia" w:ascii="方正楷体_GBK" w:hAnsi="方正楷体_GBK" w:eastAsia="方正楷体_GBK" w:cs="方正楷体_GBK"/>
          <w:b/>
          <w:color w:val="000000"/>
          <w:sz w:val="32"/>
        </w:rPr>
        <w:t>单位职责：</w:t>
      </w:r>
    </w:p>
    <w:p>
      <w:pPr>
        <w:pStyle w:val="23"/>
        <w:rPr>
          <w:rFonts w:hint="eastAsia"/>
          <w:lang w:eastAsia="zh-CN"/>
        </w:rPr>
      </w:pPr>
      <w:r>
        <w:rPr>
          <w:rFonts w:hint="eastAsia"/>
          <w:lang w:eastAsia="zh-CN"/>
        </w:rPr>
        <w:t>（一）宣传贯彻执行党的路线方针政策和党中央、上级党组织及本镇党员代表大会（党员大会）的决议。贯彻执行法律、法规、规章和上级人民代表大会及其常务委员会决议及上级政府的决定、命令，执行本级人民代表大会的决议。</w:t>
      </w:r>
    </w:p>
    <w:p>
      <w:pPr>
        <w:pStyle w:val="23"/>
        <w:rPr>
          <w:rFonts w:hint="eastAsia"/>
          <w:lang w:eastAsia="zh-CN"/>
        </w:rPr>
      </w:pPr>
      <w:r>
        <w:rPr>
          <w:rFonts w:hint="eastAsia"/>
          <w:lang w:eastAsia="zh-CN"/>
        </w:rPr>
        <w:t>（二）加强党对基层治理的全面领导，统筹抓好基层党建工作和基层党组织建设各项制度。推进全面从严治党，强化“两个责任”， 确保党的路线方针政策在基层得到全面贯彻落实。</w:t>
      </w:r>
    </w:p>
    <w:p>
      <w:pPr>
        <w:pStyle w:val="23"/>
        <w:rPr>
          <w:rFonts w:hint="eastAsia"/>
          <w:lang w:eastAsia="zh-CN"/>
        </w:rPr>
      </w:pPr>
      <w:r>
        <w:rPr>
          <w:rFonts w:hint="eastAsia"/>
          <w:lang w:eastAsia="zh-CN"/>
        </w:rPr>
        <w:t>（三）讨论和决定本镇经济建设、政治建设、文化建设、社会建设、生态文明建设和党的建设以及乡村振兴中的重大问题。</w:t>
      </w:r>
    </w:p>
    <w:p>
      <w:pPr>
        <w:pStyle w:val="23"/>
        <w:rPr>
          <w:rFonts w:hint="eastAsia"/>
          <w:lang w:eastAsia="zh-CN"/>
        </w:rPr>
      </w:pPr>
      <w:r>
        <w:rPr>
          <w:rFonts w:hint="eastAsia"/>
          <w:lang w:eastAsia="zh-CN"/>
        </w:rPr>
        <w:t>（四）组织召开本级人民代表大会，充分行使重大事项决定权、监督权和任免权，做好人大代表工作，联系选民、反映群众意见和要求。</w:t>
      </w:r>
    </w:p>
    <w:p>
      <w:pPr>
        <w:pStyle w:val="23"/>
        <w:rPr>
          <w:rFonts w:hint="eastAsia"/>
          <w:lang w:eastAsia="zh-CN"/>
        </w:rPr>
      </w:pPr>
      <w:r>
        <w:rPr>
          <w:rFonts w:hint="eastAsia"/>
          <w:lang w:eastAsia="zh-CN"/>
        </w:rPr>
        <w:t>（五）组织实施与群众生活密切相关的各项公共服务，落实基层“最多跑一次”改革工作，拓宽服务渠道，改进服务方式，建立健全群众办事一次办结机制，推进镇便民服务平台标准化建设，实行“一站式服务”“一枚印章管审批（服务）”， 提升群众获得感和幸福感。</w:t>
      </w:r>
    </w:p>
    <w:p>
      <w:pPr>
        <w:pStyle w:val="23"/>
        <w:rPr>
          <w:rFonts w:hint="eastAsia"/>
          <w:lang w:eastAsia="zh-CN"/>
        </w:rPr>
      </w:pPr>
      <w:r>
        <w:rPr>
          <w:rFonts w:hint="eastAsia"/>
          <w:lang w:eastAsia="zh-CN"/>
        </w:rPr>
        <w:t>（六）执行本行政区域内的经济和社会发展计划、预算，管理本行政区域内的经济、教育、科学、文化、卫生健康、体育事业、人力资源和社会保障、医疗保障和财政、统计、民政、司法行政等行政工作。落实本行政区域内发展规划、专项规划、区域规划、国土空间规划。</w:t>
      </w:r>
    </w:p>
    <w:p>
      <w:pPr>
        <w:pStyle w:val="23"/>
        <w:rPr>
          <w:rFonts w:hint="eastAsia"/>
          <w:lang w:eastAsia="zh-CN"/>
        </w:rPr>
      </w:pPr>
      <w:r>
        <w:rPr>
          <w:rFonts w:hint="eastAsia"/>
          <w:lang w:eastAsia="zh-CN"/>
        </w:rPr>
        <w:t>（七）镇党委领导镇政权机关、群团组织和其他各类组织，</w:t>
      </w:r>
    </w:p>
    <w:p>
      <w:pPr>
        <w:pStyle w:val="23"/>
        <w:rPr>
          <w:rFonts w:hint="eastAsia"/>
          <w:lang w:eastAsia="zh-CN"/>
        </w:rPr>
      </w:pPr>
      <w:r>
        <w:rPr>
          <w:rFonts w:hint="eastAsia"/>
          <w:lang w:eastAsia="zh-CN"/>
        </w:rPr>
        <w:t>加强指导和规范，支持和保证这些机关和组织依照国家法律法规以及各自章程履行职责。坚持党管武装的根本原则和制度，协调各方力量，对镇人民武装工作实行统一领导。</w:t>
      </w:r>
    </w:p>
    <w:p>
      <w:pPr>
        <w:pStyle w:val="23"/>
        <w:rPr>
          <w:rFonts w:hint="eastAsia"/>
          <w:lang w:eastAsia="zh-CN"/>
        </w:rPr>
      </w:pPr>
      <w:r>
        <w:rPr>
          <w:rFonts w:hint="eastAsia"/>
          <w:lang w:eastAsia="zh-CN"/>
        </w:rPr>
        <w:t>（八）加强镇党委自身建设和村党组织建设，以及其他隶属镇党委的党组织建设，抓好发展党员工作，加强党员队伍建设。维护和执行党的纪律，监督党员干部和其他任何工作人员严格遵守国家法律法规。</w:t>
      </w:r>
    </w:p>
    <w:p>
      <w:pPr>
        <w:pStyle w:val="23"/>
        <w:rPr>
          <w:rFonts w:hint="eastAsia"/>
          <w:lang w:eastAsia="zh-CN"/>
        </w:rPr>
      </w:pPr>
      <w:r>
        <w:rPr>
          <w:rFonts w:hint="eastAsia"/>
          <w:lang w:eastAsia="zh-CN"/>
        </w:rPr>
        <w:t>（九）按照干部管理权限，负责对干部的教育、培训、选拔、考核和监督工作。协助管理上级有关部门驻本镇单位的干部。做好人才服务工作。</w:t>
      </w:r>
    </w:p>
    <w:p>
      <w:pPr>
        <w:pStyle w:val="23"/>
        <w:rPr>
          <w:rFonts w:hint="eastAsia"/>
          <w:lang w:eastAsia="zh-CN"/>
        </w:rPr>
      </w:pPr>
      <w:r>
        <w:rPr>
          <w:rFonts w:hint="eastAsia"/>
          <w:lang w:eastAsia="zh-CN"/>
        </w:rPr>
        <w:t>（十）领导本镇的基层治理，加强社会主义民主法治建设和精神文明建设，加强社会治安综合治理，推行网格化管理服务，落实社会矛盾纠纷排查调处机制，综合发挥人民调解、行政调解和司法调解的作用，及时化解辖区社会矛盾，维护安全稳定。做好综合执法、应急管理、自然资源和生态环保、乡村振兴、民生保障、脱贫致富、民族宗教、防范邪教等工作。承担民兵预备役、征兵、退役军人服务、拥军优属等工作。</w:t>
      </w:r>
    </w:p>
    <w:p>
      <w:pPr>
        <w:pStyle w:val="23"/>
        <w:rPr>
          <w:rFonts w:hint="eastAsia"/>
          <w:lang w:eastAsia="zh-CN"/>
        </w:rPr>
      </w:pPr>
      <w:r>
        <w:rPr>
          <w:rFonts w:hint="eastAsia"/>
          <w:lang w:eastAsia="zh-CN"/>
        </w:rPr>
        <w:t>（十一）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23"/>
      </w:pPr>
      <w:r>
        <w:rPr>
          <w:rFonts w:hint="eastAsia"/>
          <w:lang w:eastAsia="zh-CN"/>
        </w:rPr>
        <w:t>（十二）承办上级党委、人大、政府交办的其他事项。</w:t>
      </w:r>
    </w:p>
    <w:p>
      <w:pPr>
        <w:ind w:firstLine="640"/>
        <w:rPr>
          <w:rFonts w:eastAsia="方正仿宋_GBK"/>
          <w:color w:val="000000"/>
          <w:sz w:val="28"/>
          <w:lang w:eastAsia="zh-CN"/>
        </w:rPr>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rPr>
                <w:rFonts w:hint="eastAsia"/>
              </w:rPr>
              <w:t>单位名称</w:t>
            </w:r>
          </w:p>
        </w:tc>
        <w:tc>
          <w:tcPr>
            <w:tcW w:w="1843" w:type="dxa"/>
            <w:vAlign w:val="center"/>
          </w:tcPr>
          <w:p>
            <w:pPr>
              <w:pStyle w:val="16"/>
            </w:pPr>
            <w:r>
              <w:rPr>
                <w:rFonts w:hint="eastAsia"/>
              </w:rPr>
              <w:t>单位性质</w:t>
            </w:r>
          </w:p>
        </w:tc>
        <w:tc>
          <w:tcPr>
            <w:tcW w:w="2126" w:type="dxa"/>
            <w:vAlign w:val="center"/>
          </w:tcPr>
          <w:p>
            <w:pPr>
              <w:pStyle w:val="16"/>
            </w:pPr>
            <w:r>
              <w:rPr>
                <w:rFonts w:hint="eastAsia"/>
              </w:rPr>
              <w:t>单位规格</w:t>
            </w:r>
          </w:p>
        </w:tc>
        <w:tc>
          <w:tcPr>
            <w:tcW w:w="3827" w:type="dxa"/>
            <w:vAlign w:val="center"/>
          </w:tcPr>
          <w:p>
            <w:pPr>
              <w:pStyle w:val="16"/>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rPr>
                <w:rFonts w:hint="eastAsia"/>
                <w:lang w:eastAsia="zh-CN"/>
              </w:rPr>
              <w:t>涞水县胡家庄乡人民政府</w:t>
            </w:r>
          </w:p>
        </w:tc>
        <w:tc>
          <w:tcPr>
            <w:tcW w:w="1843" w:type="dxa"/>
            <w:vAlign w:val="center"/>
          </w:tcPr>
          <w:p>
            <w:pPr>
              <w:pStyle w:val="19"/>
              <w:rPr>
                <w:rFonts w:hint="eastAsia" w:eastAsia="方正书宋_GBK"/>
                <w:lang w:eastAsia="zh-CN"/>
              </w:rPr>
            </w:pPr>
            <w:r>
              <w:rPr>
                <w:rFonts w:hint="eastAsia"/>
                <w:lang w:eastAsia="zh-CN"/>
              </w:rPr>
              <w:t>行政</w:t>
            </w:r>
          </w:p>
        </w:tc>
        <w:tc>
          <w:tcPr>
            <w:tcW w:w="2126" w:type="dxa"/>
            <w:vAlign w:val="center"/>
          </w:tcPr>
          <w:p>
            <w:pPr>
              <w:pStyle w:val="19"/>
              <w:rPr>
                <w:rFonts w:hint="eastAsia" w:eastAsia="方正书宋_GBK"/>
                <w:lang w:eastAsia="zh-CN"/>
              </w:rPr>
            </w:pPr>
            <w:r>
              <w:rPr>
                <w:rFonts w:hint="eastAsia"/>
                <w:lang w:eastAsia="zh-CN"/>
              </w:rPr>
              <w:t>正科级</w:t>
            </w:r>
          </w:p>
        </w:tc>
        <w:tc>
          <w:tcPr>
            <w:tcW w:w="3827" w:type="dxa"/>
            <w:vAlign w:val="center"/>
          </w:tcPr>
          <w:p>
            <w:pPr>
              <w:pStyle w:val="19"/>
              <w:rPr>
                <w:rFonts w:hint="eastAsia" w:eastAsia="方正书宋_GBK"/>
                <w:lang w:eastAsia="zh-CN"/>
              </w:rPr>
            </w:pPr>
            <w:r>
              <w:rPr>
                <w:rFonts w:hint="eastAsia"/>
                <w:lang w:eastAsia="zh-CN"/>
              </w:rPr>
              <w:t>财政拨款</w:t>
            </w:r>
          </w:p>
        </w:tc>
      </w:tr>
    </w:tbl>
    <w:p>
      <w:pPr>
        <w:spacing w:before="10" w:after="10"/>
        <w:ind w:firstLine="640"/>
        <w:outlineLvl w:val="5"/>
      </w:pPr>
      <w:r>
        <w:rPr>
          <w:rFonts w:hint="eastAsia" w:ascii="黑体" w:hAnsi="黑体" w:eastAsia="黑体" w:cs="黑体"/>
          <w:color w:val="000000"/>
          <w:sz w:val="32"/>
        </w:rPr>
        <w:t>二、单位预算安排的总体情况</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72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1、202</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 xml:space="preserve">年收入说明 </w:t>
      </w:r>
    </w:p>
    <w:p>
      <w:pPr>
        <w:pStyle w:val="3"/>
        <w:spacing w:line="560" w:lineRule="exact"/>
        <w:ind w:firstLine="585"/>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年我单位年初预算总收入</w:t>
      </w:r>
      <w:r>
        <w:rPr>
          <w:rFonts w:hint="eastAsia" w:ascii="仿宋" w:hAnsi="仿宋" w:eastAsia="仿宋"/>
          <w:sz w:val="32"/>
          <w:szCs w:val="32"/>
          <w:lang w:val="en-US" w:eastAsia="zh-CN"/>
        </w:rPr>
        <w:t>107.83</w:t>
      </w:r>
      <w:r>
        <w:rPr>
          <w:rFonts w:hint="eastAsia" w:ascii="仿宋" w:hAnsi="仿宋" w:eastAsia="仿宋"/>
          <w:sz w:val="32"/>
          <w:szCs w:val="32"/>
        </w:rPr>
        <w:t>万元，其中：一般公共预算拨款收入</w:t>
      </w:r>
      <w:r>
        <w:rPr>
          <w:rFonts w:hint="eastAsia" w:ascii="仿宋" w:hAnsi="仿宋" w:eastAsia="仿宋"/>
          <w:sz w:val="32"/>
          <w:szCs w:val="32"/>
          <w:lang w:val="en-US" w:eastAsia="zh-CN"/>
        </w:rPr>
        <w:t>107.83</w:t>
      </w:r>
      <w:r>
        <w:rPr>
          <w:rFonts w:hint="eastAsia" w:ascii="仿宋" w:hAnsi="仿宋" w:eastAsia="仿宋"/>
          <w:sz w:val="32"/>
          <w:szCs w:val="32"/>
        </w:rPr>
        <w:t>元，政府性基本预算拨款0万元，国有资本经营预算拨款0万元，财政专户核拨收入 0 万元，其他来源收入0 万元。</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72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2、202</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年支出说明</w:t>
      </w:r>
    </w:p>
    <w:p>
      <w:pPr>
        <w:pStyle w:val="3"/>
        <w:spacing w:line="560" w:lineRule="exact"/>
        <w:ind w:firstLine="585"/>
        <w:rPr>
          <w:rFonts w:hint="eastAsia" w:ascii="仿宋" w:hAnsi="仿宋" w:eastAsia="仿宋"/>
          <w:sz w:val="32"/>
          <w:szCs w:val="32"/>
          <w:lang w:eastAsia="zh-CN"/>
        </w:rPr>
      </w:pPr>
      <w:r>
        <w:rPr>
          <w:rFonts w:hint="eastAsia" w:ascii="仿宋" w:hAnsi="仿宋" w:eastAsia="仿宋"/>
          <w:sz w:val="32"/>
          <w:szCs w:val="32"/>
        </w:rPr>
        <w:t>收支预算总表支出栏、基本支出表、项目支出表按经济分类和支出功能分类科目编制，反映我部门预算中支出预算的总体情况。202</w:t>
      </w:r>
      <w:r>
        <w:rPr>
          <w:rFonts w:hint="eastAsia" w:ascii="仿宋" w:hAnsi="仿宋" w:eastAsia="仿宋"/>
          <w:sz w:val="32"/>
          <w:szCs w:val="32"/>
          <w:lang w:val="en-US" w:eastAsia="zh-CN"/>
        </w:rPr>
        <w:t>2</w:t>
      </w:r>
      <w:r>
        <w:rPr>
          <w:rFonts w:hint="eastAsia" w:ascii="仿宋" w:hAnsi="仿宋" w:eastAsia="仿宋"/>
          <w:sz w:val="32"/>
          <w:szCs w:val="32"/>
        </w:rPr>
        <w:t>年我部门年初预算拨款支出</w:t>
      </w:r>
      <w:r>
        <w:rPr>
          <w:rFonts w:hint="eastAsia" w:ascii="仿宋" w:hAnsi="仿宋" w:eastAsia="仿宋"/>
          <w:sz w:val="32"/>
          <w:szCs w:val="32"/>
          <w:lang w:val="en-US" w:eastAsia="zh-CN"/>
        </w:rPr>
        <w:t>107.83</w:t>
      </w:r>
      <w:r>
        <w:rPr>
          <w:rFonts w:hint="eastAsia" w:ascii="仿宋" w:hAnsi="仿宋" w:eastAsia="仿宋"/>
          <w:sz w:val="32"/>
          <w:szCs w:val="32"/>
        </w:rPr>
        <w:t>万元。其中：基本支出</w:t>
      </w:r>
      <w:r>
        <w:rPr>
          <w:rFonts w:hint="eastAsia" w:ascii="仿宋" w:hAnsi="仿宋" w:eastAsia="仿宋"/>
          <w:sz w:val="32"/>
          <w:szCs w:val="32"/>
          <w:lang w:val="en-US" w:eastAsia="zh-CN"/>
        </w:rPr>
        <w:t>107.83</w:t>
      </w:r>
      <w:r>
        <w:rPr>
          <w:rFonts w:hint="eastAsia" w:ascii="仿宋" w:hAnsi="仿宋" w:eastAsia="仿宋"/>
          <w:sz w:val="32"/>
          <w:szCs w:val="32"/>
        </w:rPr>
        <w:t>万元，（人员经费预算</w:t>
      </w:r>
      <w:r>
        <w:rPr>
          <w:rFonts w:hint="eastAsia" w:ascii="仿宋" w:hAnsi="仿宋" w:eastAsia="仿宋"/>
          <w:sz w:val="32"/>
          <w:szCs w:val="32"/>
          <w:lang w:val="en-US" w:eastAsia="zh-CN"/>
        </w:rPr>
        <w:t>101.32</w:t>
      </w:r>
      <w:r>
        <w:rPr>
          <w:rFonts w:hint="eastAsia" w:ascii="仿宋" w:hAnsi="仿宋" w:eastAsia="仿宋"/>
          <w:sz w:val="32"/>
          <w:szCs w:val="32"/>
        </w:rPr>
        <w:t>万元；正常公用经费</w:t>
      </w:r>
      <w:r>
        <w:rPr>
          <w:rFonts w:hint="eastAsia" w:ascii="仿宋" w:hAnsi="仿宋" w:eastAsia="仿宋"/>
          <w:sz w:val="32"/>
          <w:szCs w:val="32"/>
          <w:lang w:val="en-US" w:eastAsia="zh-CN"/>
        </w:rPr>
        <w:t>6.51</w:t>
      </w:r>
      <w:r>
        <w:rPr>
          <w:rFonts w:hint="eastAsia" w:ascii="仿宋" w:hAnsi="仿宋" w:eastAsia="仿宋"/>
          <w:sz w:val="32"/>
          <w:szCs w:val="32"/>
        </w:rPr>
        <w:t>万元），项目支出</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321" w:firstLineChars="1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3、与上年增减情况</w:t>
      </w:r>
    </w:p>
    <w:p>
      <w:pPr>
        <w:pStyle w:val="32"/>
      </w:pPr>
      <w:r>
        <w:rPr>
          <w:rFonts w:hint="eastAsia" w:ascii="仿宋" w:hAnsi="仿宋" w:eastAsia="仿宋"/>
          <w:sz w:val="32"/>
          <w:szCs w:val="32"/>
        </w:rPr>
        <w:t>本年度预算收支安排</w:t>
      </w:r>
      <w:r>
        <w:rPr>
          <w:rFonts w:hint="eastAsia" w:ascii="仿宋" w:hAnsi="仿宋" w:eastAsia="仿宋"/>
          <w:sz w:val="32"/>
          <w:szCs w:val="32"/>
          <w:lang w:val="en-US" w:eastAsia="zh-CN"/>
        </w:rPr>
        <w:t>107.83</w:t>
      </w:r>
      <w:r>
        <w:rPr>
          <w:rFonts w:hint="eastAsia" w:ascii="仿宋" w:hAnsi="仿宋" w:eastAsia="仿宋"/>
          <w:sz w:val="32"/>
          <w:szCs w:val="32"/>
        </w:rPr>
        <w:t>万元，较上年</w:t>
      </w:r>
      <w:r>
        <w:rPr>
          <w:rFonts w:hint="eastAsia" w:ascii="仿宋" w:hAnsi="仿宋" w:eastAsia="仿宋"/>
          <w:sz w:val="32"/>
          <w:szCs w:val="32"/>
          <w:lang w:eastAsia="zh-CN"/>
        </w:rPr>
        <w:t>减少</w:t>
      </w:r>
      <w:r>
        <w:rPr>
          <w:rFonts w:hint="eastAsia" w:ascii="仿宋" w:hAnsi="仿宋" w:eastAsia="仿宋"/>
          <w:sz w:val="32"/>
          <w:szCs w:val="32"/>
          <w:lang w:val="en-US" w:eastAsia="zh-CN"/>
        </w:rPr>
        <w:t>93.84</w:t>
      </w:r>
      <w:r>
        <w:rPr>
          <w:rFonts w:hint="eastAsia" w:ascii="仿宋" w:hAnsi="仿宋" w:eastAsia="仿宋"/>
          <w:sz w:val="32"/>
          <w:szCs w:val="32"/>
        </w:rPr>
        <w:t>万元，人员经费预算</w:t>
      </w:r>
      <w:r>
        <w:rPr>
          <w:rFonts w:hint="eastAsia" w:ascii="仿宋" w:hAnsi="仿宋" w:eastAsia="仿宋"/>
          <w:sz w:val="32"/>
          <w:szCs w:val="32"/>
          <w:lang w:eastAsia="zh-CN"/>
        </w:rPr>
        <w:t>增加</w:t>
      </w:r>
      <w:r>
        <w:rPr>
          <w:rFonts w:hint="eastAsia" w:ascii="仿宋" w:hAnsi="仿宋" w:eastAsia="仿宋"/>
          <w:sz w:val="32"/>
          <w:szCs w:val="32"/>
          <w:lang w:val="en-US" w:eastAsia="zh-CN"/>
        </w:rPr>
        <w:t>87.6</w:t>
      </w:r>
      <w:r>
        <w:rPr>
          <w:rFonts w:hint="eastAsia" w:ascii="仿宋" w:hAnsi="仿宋" w:eastAsia="仿宋"/>
          <w:sz w:val="32"/>
          <w:szCs w:val="32"/>
        </w:rPr>
        <w:t>万元，正常公用经费增加</w:t>
      </w:r>
      <w:r>
        <w:rPr>
          <w:rFonts w:hint="eastAsia" w:ascii="仿宋" w:hAnsi="仿宋" w:eastAsia="仿宋"/>
          <w:sz w:val="32"/>
          <w:szCs w:val="32"/>
          <w:lang w:val="en-US" w:eastAsia="zh-CN"/>
        </w:rPr>
        <w:t>6.24</w:t>
      </w:r>
      <w:r>
        <w:rPr>
          <w:rFonts w:hint="eastAsia" w:ascii="仿宋" w:hAnsi="仿宋" w:eastAsia="仿宋"/>
          <w:sz w:val="32"/>
          <w:szCs w:val="32"/>
        </w:rPr>
        <w:t>万元。</w:t>
      </w:r>
      <w:r>
        <w:rPr>
          <w:rFonts w:hint="eastAsia" w:ascii="仿宋" w:hAnsi="仿宋" w:eastAsia="仿宋"/>
          <w:sz w:val="32"/>
          <w:szCs w:val="32"/>
          <w:lang w:eastAsia="zh-CN"/>
        </w:rPr>
        <w:t>主要原因是人员变动情况。</w:t>
      </w:r>
    </w:p>
    <w:p>
      <w:pPr>
        <w:spacing w:before="10" w:after="10"/>
        <w:ind w:firstLine="640"/>
        <w:outlineLvl w:val="5"/>
      </w:pPr>
      <w:r>
        <w:rPr>
          <w:rFonts w:hint="eastAsia" w:ascii="黑体" w:hAnsi="黑体" w:eastAsia="黑体" w:cs="黑体"/>
          <w:color w:val="000000"/>
          <w:sz w:val="32"/>
        </w:rPr>
        <w:t>三、机关运行经费安排情况</w:t>
      </w:r>
    </w:p>
    <w:p>
      <w:pPr>
        <w:pStyle w:val="33"/>
      </w:pPr>
      <w:r>
        <w:rPr>
          <w:rFonts w:hint="eastAsia"/>
          <w:color w:val="000000"/>
        </w:rPr>
        <w:t>2022年</w:t>
      </w:r>
      <w:r>
        <w:rPr>
          <w:rFonts w:hint="eastAsia"/>
          <w:color w:val="000000"/>
          <w:lang w:eastAsia="zh-CN"/>
        </w:rPr>
        <w:t>涞水县胡家庄乡人民政府单位</w:t>
      </w:r>
      <w:r>
        <w:rPr>
          <w:rFonts w:hint="eastAsia"/>
          <w:color w:val="000000"/>
        </w:rPr>
        <w:t>预算安排机关运行经费支出</w:t>
      </w:r>
      <w:r>
        <w:rPr>
          <w:rFonts w:hint="eastAsia"/>
          <w:color w:val="000000"/>
          <w:lang w:val="en-US" w:eastAsia="zh-CN"/>
        </w:rPr>
        <w:t>7.24</w:t>
      </w:r>
      <w:r>
        <w:rPr>
          <w:rFonts w:hint="eastAsia"/>
          <w:color w:val="000000"/>
        </w:rPr>
        <w:t>万元，其中包括</w:t>
      </w:r>
      <w:r>
        <w:rPr>
          <w:rFonts w:hint="eastAsia" w:eastAsia="方正仿宋_GBK"/>
          <w:color w:val="000000"/>
          <w:sz w:val="28"/>
        </w:rPr>
        <w:t>办公费</w:t>
      </w:r>
      <w:r>
        <w:rPr>
          <w:rFonts w:hint="eastAsia"/>
          <w:color w:val="000000"/>
          <w:sz w:val="28"/>
          <w:lang w:val="en-US" w:eastAsia="zh-CN"/>
        </w:rPr>
        <w:t>3.08</w:t>
      </w:r>
      <w:r>
        <w:rPr>
          <w:rFonts w:hint="eastAsia" w:eastAsia="方正仿宋_GBK"/>
          <w:color w:val="000000"/>
          <w:sz w:val="28"/>
        </w:rPr>
        <w:t>万元、</w:t>
      </w:r>
      <w:r>
        <w:rPr>
          <w:rFonts w:hint="eastAsia" w:eastAsia="方正仿宋_GBK"/>
          <w:color w:val="000000"/>
          <w:sz w:val="28"/>
          <w:lang w:val="en-US" w:eastAsia="zh-CN"/>
        </w:rPr>
        <w:t>差旅费1.</w:t>
      </w:r>
      <w:r>
        <w:rPr>
          <w:rFonts w:hint="eastAsia"/>
          <w:color w:val="000000"/>
          <w:sz w:val="28"/>
          <w:lang w:val="en-US" w:eastAsia="zh-CN"/>
        </w:rPr>
        <w:t>4</w:t>
      </w:r>
      <w:r>
        <w:rPr>
          <w:rFonts w:hint="eastAsia" w:eastAsia="方正仿宋_GBK"/>
          <w:color w:val="000000"/>
          <w:sz w:val="28"/>
          <w:lang w:val="en-US" w:eastAsia="zh-CN"/>
        </w:rPr>
        <w:t>万元、</w:t>
      </w:r>
      <w:r>
        <w:rPr>
          <w:rFonts w:hint="eastAsia" w:eastAsia="方正仿宋_GBK"/>
          <w:color w:val="000000"/>
          <w:sz w:val="28"/>
        </w:rPr>
        <w:t>工会经费</w:t>
      </w:r>
      <w:r>
        <w:rPr>
          <w:rFonts w:hint="eastAsia"/>
          <w:color w:val="000000"/>
          <w:sz w:val="28"/>
          <w:lang w:val="en-US" w:eastAsia="zh-CN"/>
        </w:rPr>
        <w:t>1.27</w:t>
      </w:r>
      <w:r>
        <w:rPr>
          <w:rFonts w:hint="eastAsia" w:eastAsia="方正仿宋_GBK"/>
          <w:color w:val="000000"/>
          <w:sz w:val="28"/>
        </w:rPr>
        <w:t>万元、福利费</w:t>
      </w:r>
      <w:r>
        <w:rPr>
          <w:rFonts w:hint="eastAsia"/>
          <w:color w:val="000000"/>
          <w:sz w:val="28"/>
          <w:lang w:val="en-US" w:eastAsia="zh-CN"/>
        </w:rPr>
        <w:t>1.49</w:t>
      </w:r>
      <w:r>
        <w:rPr>
          <w:rFonts w:hint="eastAsia" w:eastAsia="方正仿宋_GBK"/>
          <w:color w:val="000000"/>
          <w:sz w:val="28"/>
        </w:rPr>
        <w:t>万元。</w:t>
      </w: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r>
        <w:rPr>
          <w:rFonts w:hint="eastAsia" w:ascii="黑体" w:hAnsi="黑体" w:eastAsia="黑体" w:cs="黑体"/>
          <w:color w:val="000000"/>
          <w:sz w:val="32"/>
        </w:rPr>
        <w:t>四、财政拨款“三公”经费预算情况及增减变化原因</w:t>
      </w:r>
    </w:p>
    <w:tbl>
      <w:tblPr>
        <w:tblStyle w:val="9"/>
        <w:tblW w:w="0" w:type="auto"/>
        <w:tblInd w:w="721" w:type="dxa"/>
        <w:tblLayout w:type="fixed"/>
        <w:tblCellMar>
          <w:top w:w="0" w:type="dxa"/>
          <w:left w:w="108" w:type="dxa"/>
          <w:bottom w:w="0" w:type="dxa"/>
          <w:right w:w="108" w:type="dxa"/>
        </w:tblCellMar>
      </w:tblPr>
      <w:tblGrid>
        <w:gridCol w:w="2757"/>
        <w:gridCol w:w="1923"/>
        <w:gridCol w:w="2072"/>
        <w:gridCol w:w="2018"/>
        <w:gridCol w:w="2400"/>
      </w:tblGrid>
      <w:tr>
        <w:tblPrEx>
          <w:tblCellMar>
            <w:top w:w="0" w:type="dxa"/>
            <w:left w:w="108" w:type="dxa"/>
            <w:bottom w:w="0" w:type="dxa"/>
            <w:right w:w="108" w:type="dxa"/>
          </w:tblCellMar>
        </w:tblPrEx>
        <w:trPr>
          <w:trHeight w:val="221" w:hRule="atLeast"/>
        </w:trPr>
        <w:tc>
          <w:tcPr>
            <w:tcW w:w="2757" w:type="dxa"/>
            <w:tcBorders>
              <w:top w:val="nil"/>
              <w:left w:val="nil"/>
              <w:bottom w:val="nil"/>
              <w:right w:val="nil"/>
            </w:tcBorders>
            <w:vAlign w:val="center"/>
          </w:tcPr>
          <w:p>
            <w:pPr>
              <w:rPr>
                <w:rFonts w:ascii="宋体" w:hAnsi="宋体" w:eastAsia="宋体" w:cs="宋体"/>
              </w:rPr>
            </w:pPr>
          </w:p>
        </w:tc>
        <w:tc>
          <w:tcPr>
            <w:tcW w:w="1923" w:type="dxa"/>
            <w:tcBorders>
              <w:top w:val="nil"/>
              <w:left w:val="nil"/>
              <w:bottom w:val="nil"/>
              <w:right w:val="nil"/>
            </w:tcBorders>
            <w:vAlign w:val="center"/>
          </w:tcPr>
          <w:p>
            <w:pPr>
              <w:rPr>
                <w:rFonts w:ascii="宋体" w:hAnsi="宋体" w:eastAsia="宋体" w:cs="宋体"/>
              </w:rPr>
            </w:pPr>
          </w:p>
        </w:tc>
        <w:tc>
          <w:tcPr>
            <w:tcW w:w="2072" w:type="dxa"/>
            <w:tcBorders>
              <w:top w:val="nil"/>
              <w:left w:val="nil"/>
              <w:bottom w:val="nil"/>
              <w:right w:val="nil"/>
            </w:tcBorders>
            <w:vAlign w:val="center"/>
          </w:tcPr>
          <w:p>
            <w:pPr>
              <w:rPr>
                <w:rFonts w:ascii="宋体" w:hAnsi="宋体" w:eastAsia="宋体" w:cs="宋体"/>
              </w:rPr>
            </w:pPr>
          </w:p>
        </w:tc>
        <w:tc>
          <w:tcPr>
            <w:tcW w:w="2018" w:type="dxa"/>
            <w:tcBorders>
              <w:top w:val="nil"/>
              <w:left w:val="nil"/>
              <w:bottom w:val="nil"/>
              <w:right w:val="nil"/>
            </w:tcBorders>
            <w:vAlign w:val="center"/>
          </w:tcPr>
          <w:p>
            <w:pPr>
              <w:rPr>
                <w:rFonts w:ascii="宋体" w:hAnsi="宋体" w:eastAsia="宋体" w:cs="宋体"/>
              </w:rPr>
            </w:pPr>
          </w:p>
        </w:tc>
        <w:tc>
          <w:tcPr>
            <w:tcW w:w="2400" w:type="dxa"/>
            <w:tcBorders>
              <w:top w:val="nil"/>
              <w:left w:val="nil"/>
              <w:bottom w:val="nil"/>
              <w:right w:val="nil"/>
            </w:tcBorders>
            <w:vAlign w:val="center"/>
          </w:tcPr>
          <w:p>
            <w:pPr>
              <w:jc w:val="right"/>
              <w:rPr>
                <w:rFonts w:ascii="宋体" w:hAnsi="宋体" w:eastAsia="宋体" w:cs="宋体"/>
              </w:rPr>
            </w:pPr>
            <w:r>
              <w:rPr>
                <w:rFonts w:hint="eastAsia" w:ascii="宋体" w:hAnsi="宋体"/>
                <w:sz w:val="21"/>
                <w:szCs w:val="21"/>
              </w:rPr>
              <w:t>单位：万元</w:t>
            </w:r>
          </w:p>
        </w:tc>
      </w:tr>
      <w:tr>
        <w:tblPrEx>
          <w:tblCellMar>
            <w:top w:w="0" w:type="dxa"/>
            <w:left w:w="108" w:type="dxa"/>
            <w:bottom w:w="0" w:type="dxa"/>
            <w:right w:w="108" w:type="dxa"/>
          </w:tblCellMar>
        </w:tblPrEx>
        <w:trPr>
          <w:trHeight w:val="285" w:hRule="atLeast"/>
        </w:trPr>
        <w:tc>
          <w:tcPr>
            <w:tcW w:w="27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1"/>
                <w:szCs w:val="21"/>
              </w:rPr>
            </w:pPr>
            <w:r>
              <w:rPr>
                <w:rFonts w:hint="eastAsia" w:ascii="仿宋_GB2312" w:hAnsi="宋体" w:eastAsia="仿宋_GB2312"/>
                <w:sz w:val="21"/>
                <w:szCs w:val="21"/>
              </w:rPr>
              <w:t>项目名称</w:t>
            </w:r>
          </w:p>
        </w:tc>
        <w:tc>
          <w:tcPr>
            <w:tcW w:w="192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1"/>
                <w:szCs w:val="21"/>
              </w:rPr>
            </w:pPr>
            <w:r>
              <w:rPr>
                <w:rFonts w:hint="eastAsia" w:ascii="仿宋_GB2312" w:hAnsi="宋体" w:eastAsia="仿宋_GB2312"/>
                <w:sz w:val="21"/>
                <w:szCs w:val="21"/>
              </w:rPr>
              <w:t>202</w:t>
            </w:r>
            <w:r>
              <w:rPr>
                <w:rFonts w:hint="eastAsia" w:ascii="仿宋_GB2312" w:hAnsi="宋体" w:eastAsia="仿宋_GB2312"/>
                <w:sz w:val="21"/>
                <w:szCs w:val="21"/>
                <w:lang w:eastAsia="zh-CN"/>
              </w:rPr>
              <w:t>1</w:t>
            </w:r>
            <w:r>
              <w:rPr>
                <w:rFonts w:hint="eastAsia" w:ascii="仿宋_GB2312" w:hAnsi="宋体" w:eastAsia="仿宋_GB2312"/>
                <w:sz w:val="21"/>
                <w:szCs w:val="21"/>
              </w:rPr>
              <w:t>年度预算</w:t>
            </w:r>
          </w:p>
        </w:tc>
        <w:tc>
          <w:tcPr>
            <w:tcW w:w="2072"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1"/>
                <w:szCs w:val="21"/>
              </w:rPr>
            </w:pPr>
            <w:r>
              <w:rPr>
                <w:rFonts w:hint="eastAsia" w:ascii="仿宋_GB2312" w:hAnsi="宋体" w:eastAsia="仿宋_GB2312"/>
                <w:sz w:val="21"/>
                <w:szCs w:val="21"/>
              </w:rPr>
              <w:t>202</w:t>
            </w:r>
            <w:r>
              <w:rPr>
                <w:rFonts w:hint="eastAsia" w:ascii="仿宋_GB2312" w:hAnsi="宋体" w:eastAsia="仿宋_GB2312"/>
                <w:sz w:val="21"/>
                <w:szCs w:val="21"/>
                <w:lang w:eastAsia="zh-CN"/>
              </w:rPr>
              <w:t>2</w:t>
            </w:r>
            <w:r>
              <w:rPr>
                <w:rFonts w:hint="eastAsia" w:ascii="仿宋_GB2312" w:hAnsi="宋体" w:eastAsia="仿宋_GB2312"/>
                <w:sz w:val="21"/>
                <w:szCs w:val="21"/>
              </w:rPr>
              <w:t>年度预算</w:t>
            </w:r>
          </w:p>
        </w:tc>
        <w:tc>
          <w:tcPr>
            <w:tcW w:w="201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1"/>
                <w:szCs w:val="21"/>
              </w:rPr>
            </w:pPr>
            <w:r>
              <w:rPr>
                <w:rFonts w:hint="eastAsia" w:ascii="仿宋_GB2312" w:hAnsi="宋体" w:eastAsia="仿宋_GB2312"/>
                <w:sz w:val="21"/>
                <w:szCs w:val="21"/>
              </w:rPr>
              <w:t>增减金额</w:t>
            </w:r>
          </w:p>
        </w:tc>
        <w:tc>
          <w:tcPr>
            <w:tcW w:w="240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1"/>
                <w:szCs w:val="21"/>
              </w:rPr>
            </w:pPr>
            <w:r>
              <w:rPr>
                <w:rFonts w:hint="eastAsia" w:ascii="仿宋_GB2312" w:hAnsi="宋体" w:eastAsia="仿宋_GB2312"/>
                <w:sz w:val="21"/>
                <w:szCs w:val="21"/>
              </w:rPr>
              <w:t>变化原因</w:t>
            </w:r>
          </w:p>
        </w:tc>
      </w:tr>
      <w:tr>
        <w:tblPrEx>
          <w:tblCellMar>
            <w:top w:w="0" w:type="dxa"/>
            <w:left w:w="108" w:type="dxa"/>
            <w:bottom w:w="0" w:type="dxa"/>
            <w:right w:w="108" w:type="dxa"/>
          </w:tblCellMar>
        </w:tblPrEx>
        <w:trPr>
          <w:trHeight w:val="285" w:hRule="atLeast"/>
        </w:trPr>
        <w:tc>
          <w:tcPr>
            <w:tcW w:w="275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21"/>
                <w:szCs w:val="21"/>
              </w:rPr>
            </w:pPr>
            <w:r>
              <w:rPr>
                <w:rFonts w:hint="eastAsia" w:ascii="仿宋_GB2312" w:hAnsi="宋体" w:eastAsia="仿宋_GB2312"/>
                <w:sz w:val="21"/>
                <w:szCs w:val="21"/>
              </w:rPr>
              <w:t>因公出国经费</w:t>
            </w:r>
          </w:p>
        </w:tc>
        <w:tc>
          <w:tcPr>
            <w:tcW w:w="1923"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1"/>
                <w:szCs w:val="21"/>
              </w:rPr>
            </w:pPr>
          </w:p>
        </w:tc>
        <w:tc>
          <w:tcPr>
            <w:tcW w:w="2072"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1"/>
                <w:szCs w:val="21"/>
              </w:rPr>
            </w:pPr>
          </w:p>
        </w:tc>
        <w:tc>
          <w:tcPr>
            <w:tcW w:w="2018"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1"/>
                <w:szCs w:val="21"/>
              </w:rPr>
            </w:pPr>
          </w:p>
        </w:tc>
        <w:tc>
          <w:tcPr>
            <w:tcW w:w="2400" w:type="dxa"/>
            <w:tcBorders>
              <w:top w:val="nil"/>
              <w:left w:val="nil"/>
              <w:bottom w:val="single" w:color="auto" w:sz="4" w:space="0"/>
              <w:right w:val="single" w:color="auto" w:sz="4" w:space="0"/>
            </w:tcBorders>
            <w:vAlign w:val="center"/>
          </w:tcPr>
          <w:p>
            <w:pPr>
              <w:rPr>
                <w:rFonts w:ascii="仿宋_GB2312" w:hAnsi="宋体" w:eastAsia="仿宋_GB2312" w:cs="宋体"/>
                <w:sz w:val="21"/>
                <w:szCs w:val="21"/>
              </w:rPr>
            </w:pPr>
          </w:p>
        </w:tc>
      </w:tr>
      <w:tr>
        <w:tblPrEx>
          <w:tblCellMar>
            <w:top w:w="0" w:type="dxa"/>
            <w:left w:w="108" w:type="dxa"/>
            <w:bottom w:w="0" w:type="dxa"/>
            <w:right w:w="108" w:type="dxa"/>
          </w:tblCellMar>
        </w:tblPrEx>
        <w:trPr>
          <w:trHeight w:val="285" w:hRule="atLeast"/>
        </w:trPr>
        <w:tc>
          <w:tcPr>
            <w:tcW w:w="275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21"/>
                <w:szCs w:val="21"/>
              </w:rPr>
            </w:pPr>
            <w:r>
              <w:rPr>
                <w:rFonts w:hint="eastAsia" w:ascii="仿宋_GB2312" w:hAnsi="宋体" w:eastAsia="仿宋_GB2312"/>
                <w:sz w:val="21"/>
                <w:szCs w:val="21"/>
              </w:rPr>
              <w:t>公务用车购置经费</w:t>
            </w:r>
          </w:p>
        </w:tc>
        <w:tc>
          <w:tcPr>
            <w:tcW w:w="1923"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1"/>
                <w:szCs w:val="21"/>
              </w:rPr>
            </w:pPr>
          </w:p>
        </w:tc>
        <w:tc>
          <w:tcPr>
            <w:tcW w:w="2072"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1"/>
                <w:szCs w:val="21"/>
              </w:rPr>
            </w:pPr>
          </w:p>
        </w:tc>
        <w:tc>
          <w:tcPr>
            <w:tcW w:w="2018"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sz w:val="21"/>
                <w:szCs w:val="21"/>
                <w:lang w:val="en-US" w:eastAsia="zh-CN"/>
              </w:rPr>
            </w:pPr>
          </w:p>
        </w:tc>
        <w:tc>
          <w:tcPr>
            <w:tcW w:w="2400" w:type="dxa"/>
            <w:tcBorders>
              <w:top w:val="nil"/>
              <w:left w:val="nil"/>
              <w:bottom w:val="single" w:color="auto" w:sz="4" w:space="0"/>
              <w:right w:val="single" w:color="auto" w:sz="4" w:space="0"/>
            </w:tcBorders>
            <w:vAlign w:val="center"/>
          </w:tcPr>
          <w:p>
            <w:pPr>
              <w:rPr>
                <w:rFonts w:ascii="仿宋_GB2312" w:hAnsi="宋体" w:eastAsia="仿宋_GB2312" w:cs="宋体"/>
                <w:sz w:val="21"/>
                <w:szCs w:val="21"/>
                <w:lang w:eastAsia="zh-CN"/>
              </w:rPr>
            </w:pPr>
          </w:p>
        </w:tc>
      </w:tr>
      <w:tr>
        <w:tblPrEx>
          <w:tblCellMar>
            <w:top w:w="0" w:type="dxa"/>
            <w:left w:w="108" w:type="dxa"/>
            <w:bottom w:w="0" w:type="dxa"/>
            <w:right w:w="108" w:type="dxa"/>
          </w:tblCellMar>
        </w:tblPrEx>
        <w:trPr>
          <w:trHeight w:val="379" w:hRule="atLeast"/>
        </w:trPr>
        <w:tc>
          <w:tcPr>
            <w:tcW w:w="275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21"/>
                <w:szCs w:val="21"/>
              </w:rPr>
            </w:pPr>
            <w:r>
              <w:rPr>
                <w:rFonts w:hint="eastAsia" w:ascii="仿宋_GB2312" w:hAnsi="宋体" w:eastAsia="仿宋_GB2312"/>
                <w:sz w:val="21"/>
                <w:szCs w:val="21"/>
              </w:rPr>
              <w:t>公务用车运行经费</w:t>
            </w:r>
          </w:p>
        </w:tc>
        <w:tc>
          <w:tcPr>
            <w:tcW w:w="1923"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sz w:val="21"/>
                <w:szCs w:val="21"/>
                <w:lang w:eastAsia="zh-CN"/>
              </w:rPr>
            </w:pPr>
          </w:p>
        </w:tc>
        <w:tc>
          <w:tcPr>
            <w:tcW w:w="2072"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sz w:val="21"/>
                <w:szCs w:val="21"/>
                <w:lang w:val="en-US" w:eastAsia="zh-CN"/>
              </w:rPr>
            </w:pPr>
          </w:p>
        </w:tc>
        <w:tc>
          <w:tcPr>
            <w:tcW w:w="2018"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sz w:val="21"/>
                <w:szCs w:val="21"/>
                <w:lang w:val="en-US" w:eastAsia="zh-CN"/>
              </w:rPr>
            </w:pPr>
          </w:p>
        </w:tc>
        <w:tc>
          <w:tcPr>
            <w:tcW w:w="2400" w:type="dxa"/>
            <w:tcBorders>
              <w:top w:val="nil"/>
              <w:left w:val="nil"/>
              <w:bottom w:val="single" w:color="auto" w:sz="4" w:space="0"/>
              <w:right w:val="single" w:color="auto" w:sz="4" w:space="0"/>
            </w:tcBorders>
            <w:vAlign w:val="center"/>
          </w:tcPr>
          <w:p>
            <w:pPr>
              <w:rPr>
                <w:rFonts w:ascii="仿宋_GB2312" w:hAnsi="宋体" w:eastAsia="仿宋_GB2312" w:cs="宋体"/>
                <w:sz w:val="21"/>
                <w:szCs w:val="21"/>
              </w:rPr>
            </w:pPr>
          </w:p>
        </w:tc>
      </w:tr>
      <w:tr>
        <w:tblPrEx>
          <w:tblCellMar>
            <w:top w:w="0" w:type="dxa"/>
            <w:left w:w="108" w:type="dxa"/>
            <w:bottom w:w="0" w:type="dxa"/>
            <w:right w:w="108" w:type="dxa"/>
          </w:tblCellMar>
        </w:tblPrEx>
        <w:trPr>
          <w:trHeight w:val="432" w:hRule="atLeast"/>
        </w:trPr>
        <w:tc>
          <w:tcPr>
            <w:tcW w:w="275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21"/>
                <w:szCs w:val="21"/>
              </w:rPr>
            </w:pPr>
            <w:r>
              <w:rPr>
                <w:rFonts w:hint="eastAsia" w:ascii="仿宋_GB2312" w:hAnsi="宋体" w:eastAsia="仿宋_GB2312"/>
                <w:sz w:val="21"/>
                <w:szCs w:val="21"/>
              </w:rPr>
              <w:t>公务接待费支出</w:t>
            </w:r>
          </w:p>
        </w:tc>
        <w:tc>
          <w:tcPr>
            <w:tcW w:w="1923"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sz w:val="21"/>
                <w:szCs w:val="21"/>
                <w:lang w:val="en-US" w:eastAsia="zh-CN"/>
              </w:rPr>
            </w:pPr>
          </w:p>
        </w:tc>
        <w:tc>
          <w:tcPr>
            <w:tcW w:w="2072"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1"/>
                <w:szCs w:val="21"/>
                <w:lang w:eastAsia="zh-CN"/>
              </w:rPr>
            </w:pPr>
          </w:p>
        </w:tc>
        <w:tc>
          <w:tcPr>
            <w:tcW w:w="2018"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1"/>
                <w:szCs w:val="21"/>
                <w:lang w:eastAsia="zh-CN"/>
              </w:rPr>
            </w:pPr>
          </w:p>
        </w:tc>
        <w:tc>
          <w:tcPr>
            <w:tcW w:w="2400" w:type="dxa"/>
            <w:tcBorders>
              <w:top w:val="nil"/>
              <w:left w:val="nil"/>
              <w:bottom w:val="single" w:color="auto" w:sz="4" w:space="0"/>
              <w:right w:val="single" w:color="auto" w:sz="4" w:space="0"/>
            </w:tcBorders>
            <w:vAlign w:val="center"/>
          </w:tcPr>
          <w:p>
            <w:pPr>
              <w:rPr>
                <w:rFonts w:ascii="仿宋_GB2312" w:hAnsi="宋体" w:eastAsia="仿宋_GB2312" w:cs="宋体"/>
                <w:sz w:val="21"/>
                <w:szCs w:val="21"/>
                <w:lang w:eastAsia="zh-CN"/>
              </w:rPr>
            </w:pPr>
          </w:p>
        </w:tc>
      </w:tr>
      <w:tr>
        <w:tblPrEx>
          <w:tblCellMar>
            <w:top w:w="0" w:type="dxa"/>
            <w:left w:w="108" w:type="dxa"/>
            <w:bottom w:w="0" w:type="dxa"/>
            <w:right w:w="108" w:type="dxa"/>
          </w:tblCellMar>
        </w:tblPrEx>
        <w:trPr>
          <w:trHeight w:val="372" w:hRule="atLeast"/>
        </w:trPr>
        <w:tc>
          <w:tcPr>
            <w:tcW w:w="275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21"/>
                <w:szCs w:val="21"/>
              </w:rPr>
            </w:pPr>
            <w:r>
              <w:rPr>
                <w:rFonts w:hint="eastAsia" w:ascii="仿宋_GB2312" w:hAnsi="宋体" w:eastAsia="仿宋_GB2312"/>
                <w:sz w:val="21"/>
                <w:szCs w:val="21"/>
              </w:rPr>
              <w:t>合计</w:t>
            </w:r>
          </w:p>
        </w:tc>
        <w:tc>
          <w:tcPr>
            <w:tcW w:w="1923"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sz w:val="21"/>
                <w:szCs w:val="21"/>
                <w:lang w:eastAsia="zh-CN"/>
              </w:rPr>
            </w:pPr>
          </w:p>
        </w:tc>
        <w:tc>
          <w:tcPr>
            <w:tcW w:w="2072"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sz w:val="21"/>
                <w:szCs w:val="21"/>
                <w:lang w:val="en-US" w:eastAsia="zh-CN"/>
              </w:rPr>
            </w:pPr>
          </w:p>
        </w:tc>
        <w:tc>
          <w:tcPr>
            <w:tcW w:w="2018"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sz w:val="21"/>
                <w:szCs w:val="21"/>
                <w:lang w:val="en-US" w:eastAsia="zh-CN"/>
              </w:rPr>
            </w:pPr>
          </w:p>
        </w:tc>
        <w:tc>
          <w:tcPr>
            <w:tcW w:w="2400" w:type="dxa"/>
            <w:tcBorders>
              <w:top w:val="nil"/>
              <w:left w:val="nil"/>
              <w:bottom w:val="single" w:color="auto" w:sz="4" w:space="0"/>
              <w:right w:val="single" w:color="auto" w:sz="4" w:space="0"/>
            </w:tcBorders>
            <w:vAlign w:val="center"/>
          </w:tcPr>
          <w:p>
            <w:pPr>
              <w:rPr>
                <w:rFonts w:ascii="仿宋_GB2312" w:hAnsi="宋体" w:eastAsia="仿宋_GB2312" w:cs="宋体"/>
                <w:sz w:val="21"/>
                <w:szCs w:val="21"/>
              </w:rPr>
            </w:pPr>
          </w:p>
        </w:tc>
      </w:tr>
    </w:tbl>
    <w:p>
      <w:pPr>
        <w:spacing w:line="500" w:lineRule="exact"/>
        <w:ind w:firstLine="630" w:firstLineChars="300"/>
        <w:rPr>
          <w:rFonts w:hint="eastAsia" w:eastAsia="方正书宋_GBK"/>
          <w:lang w:eastAsia="zh-CN"/>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无“三公”经费预算，空表列示。</w:t>
      </w: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lang w:eastAsia="zh-CN"/>
        </w:rPr>
      </w:pPr>
      <w:r>
        <w:rPr>
          <w:rFonts w:hint="eastAsia" w:ascii="黑体" w:hAnsi="黑体" w:eastAsia="黑体" w:cs="黑体"/>
          <w:color w:val="000000"/>
          <w:sz w:val="32"/>
        </w:rPr>
        <w:t>五、预算绩效信息</w:t>
      </w:r>
    </w:p>
    <w:p>
      <w:pPr>
        <w:spacing w:before="10" w:after="10"/>
        <w:ind w:firstLine="640"/>
        <w:outlineLvl w:val="5"/>
        <w:rPr>
          <w:lang w:eastAsia="zh-CN"/>
        </w:rPr>
        <w:sectPr>
          <w:type w:val="continuous"/>
          <w:pgSz w:w="16840" w:h="11900" w:orient="landscape"/>
          <w:pgMar w:top="1361" w:right="1021" w:bottom="1361" w:left="1021" w:header="720" w:footer="720" w:gutter="0"/>
          <w:cols w:space="720" w:num="1"/>
        </w:sectPr>
      </w:pPr>
    </w:p>
    <w:p>
      <w:pPr>
        <w:pStyle w:val="34"/>
        <w:rPr>
          <w:rFonts w:hint="eastAsia"/>
          <w:lang w:eastAsia="zh-CN"/>
        </w:rPr>
      </w:pPr>
      <w:r>
        <w:rPr>
          <w:rFonts w:hint="eastAsia"/>
          <w:lang w:eastAsia="zh-CN"/>
        </w:rPr>
        <w:t>无。</w:t>
      </w: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2022</w:t>
      </w:r>
      <w:r>
        <w:rPr>
          <w:rFonts w:hint="eastAsia" w:eastAsia="方正仿宋_GBK"/>
          <w:color w:val="000000"/>
          <w:sz w:val="28"/>
        </w:rPr>
        <w:t>年，</w:t>
      </w:r>
      <w:r>
        <w:rPr>
          <w:rFonts w:hint="eastAsia" w:eastAsia="方正仿宋_GBK"/>
          <w:color w:val="000000"/>
          <w:sz w:val="28"/>
          <w:lang w:eastAsia="zh-CN"/>
        </w:rPr>
        <w:t>涞水县胡家庄乡人民政府</w:t>
      </w:r>
      <w:r>
        <w:rPr>
          <w:rFonts w:hint="eastAsia" w:eastAsia="方正仿宋_GBK"/>
          <w:color w:val="000000"/>
          <w:sz w:val="28"/>
        </w:rPr>
        <w:t>安排政府采购预算</w:t>
      </w:r>
      <w:r>
        <w:rPr>
          <w:rFonts w:eastAsia="方正仿宋_GBK"/>
          <w:color w:val="000000"/>
          <w:sz w:val="28"/>
        </w:rPr>
        <w:t>0.00</w:t>
      </w:r>
      <w:r>
        <w:rPr>
          <w:rFonts w:hint="eastAsia" w:eastAsia="方正仿宋_GBK"/>
          <w:color w:val="000000"/>
          <w:sz w:val="28"/>
        </w:rPr>
        <w:t>万元。具体内容见下表。</w:t>
      </w:r>
    </w:p>
    <w:p>
      <w:pPr>
        <w:jc w:val="center"/>
        <w:rPr>
          <w:rFonts w:hint="eastAsia" w:ascii="方正小标宋_GBK" w:hAnsi="方正小标宋_GBK" w:eastAsia="方正小标宋_GBK" w:cs="方正小标宋_GBK"/>
          <w:color w:val="000000"/>
          <w:sz w:val="36"/>
        </w:rPr>
      </w:pPr>
    </w:p>
    <w:p>
      <w:pPr>
        <w:jc w:val="center"/>
        <w:rPr>
          <w:rFonts w:hint="eastAsia" w:ascii="方正小标宋_GBK" w:hAnsi="方正小标宋_GBK" w:eastAsia="方正小标宋_GBK" w:cs="方正小标宋_GBK"/>
          <w:color w:val="000000"/>
          <w:sz w:val="36"/>
        </w:rPr>
      </w:pPr>
    </w:p>
    <w:p>
      <w:pPr>
        <w:jc w:val="center"/>
      </w:pPr>
      <w:r>
        <w:rPr>
          <w:rFonts w:hint="eastAsia" w:ascii="方正小标宋_GBK" w:hAnsi="方正小标宋_GBK" w:eastAsia="方正小标宋_GBK" w:cs="方正小标宋_GBK"/>
          <w:color w:val="000000"/>
          <w:sz w:val="36"/>
        </w:rPr>
        <w:t>单位政府采购预算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28"/>
        <w:gridCol w:w="867"/>
        <w:gridCol w:w="1018"/>
        <w:gridCol w:w="1018"/>
        <w:gridCol w:w="637"/>
        <w:gridCol w:w="763"/>
        <w:gridCol w:w="768"/>
        <w:gridCol w:w="866"/>
        <w:gridCol w:w="866"/>
        <w:gridCol w:w="866"/>
        <w:gridCol w:w="866"/>
        <w:gridCol w:w="866"/>
        <w:gridCol w:w="866"/>
        <w:gridCol w:w="866"/>
        <w:gridCol w:w="870"/>
        <w:gridCol w:w="8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4" w:hRule="atLeast"/>
          <w:tblHeader/>
          <w:jc w:val="center"/>
        </w:trPr>
        <w:tc>
          <w:tcPr>
            <w:tcW w:w="6599" w:type="dxa"/>
            <w:gridSpan w:val="7"/>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809003</w:t>
            </w:r>
            <w:r>
              <w:rPr>
                <w:rFonts w:hint="eastAsia"/>
                <w:lang w:eastAsia="zh-CN"/>
              </w:rPr>
              <w:t>涞水县胡家庄乡人民政府</w:t>
            </w:r>
          </w:p>
        </w:tc>
        <w:tc>
          <w:tcPr>
            <w:tcW w:w="7800" w:type="dxa"/>
            <w:gridSpan w:val="9"/>
            <w:tcBorders>
              <w:top w:val="single" w:color="FFFFFF" w:sz="6" w:space="0"/>
              <w:left w:val="single" w:color="FFFFFF" w:sz="6" w:space="0"/>
              <w:right w:val="single" w:color="FFFFFF" w:sz="6" w:space="0"/>
            </w:tcBorders>
            <w:vAlign w:val="center"/>
          </w:tcPr>
          <w:p>
            <w:pPr>
              <w:pStyle w:val="3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5" w:hRule="atLeast"/>
          <w:tblHeader/>
          <w:jc w:val="center"/>
        </w:trPr>
        <w:tc>
          <w:tcPr>
            <w:tcW w:w="2395" w:type="dxa"/>
            <w:gridSpan w:val="2"/>
            <w:vAlign w:val="center"/>
          </w:tcPr>
          <w:p>
            <w:pPr>
              <w:pStyle w:val="16"/>
            </w:pPr>
            <w:r>
              <w:rPr>
                <w:rFonts w:hint="eastAsia"/>
              </w:rPr>
              <w:t>政府采购项目来源</w:t>
            </w:r>
          </w:p>
        </w:tc>
        <w:tc>
          <w:tcPr>
            <w:tcW w:w="1018" w:type="dxa"/>
            <w:vMerge w:val="restart"/>
            <w:vAlign w:val="center"/>
          </w:tcPr>
          <w:p>
            <w:pPr>
              <w:pStyle w:val="16"/>
            </w:pPr>
            <w:r>
              <w:rPr>
                <w:rFonts w:hint="eastAsia"/>
              </w:rPr>
              <w:t>采购物品名称</w:t>
            </w:r>
          </w:p>
        </w:tc>
        <w:tc>
          <w:tcPr>
            <w:tcW w:w="1018" w:type="dxa"/>
            <w:vMerge w:val="restart"/>
            <w:vAlign w:val="center"/>
          </w:tcPr>
          <w:p>
            <w:pPr>
              <w:pStyle w:val="16"/>
            </w:pPr>
            <w:r>
              <w:rPr>
                <w:rFonts w:hint="eastAsia"/>
              </w:rPr>
              <w:t>政府采购目录序号</w:t>
            </w:r>
          </w:p>
        </w:tc>
        <w:tc>
          <w:tcPr>
            <w:tcW w:w="637" w:type="dxa"/>
            <w:vMerge w:val="restart"/>
            <w:vAlign w:val="center"/>
          </w:tcPr>
          <w:p>
            <w:pPr>
              <w:pStyle w:val="16"/>
            </w:pPr>
            <w:r>
              <w:rPr>
                <w:rFonts w:hint="eastAsia"/>
              </w:rPr>
              <w:t>计量</w:t>
            </w:r>
            <w:r>
              <w:t xml:space="preserve">  </w:t>
            </w:r>
            <w:r>
              <w:rPr>
                <w:rFonts w:hint="eastAsia"/>
              </w:rPr>
              <w:t>单位</w:t>
            </w:r>
          </w:p>
        </w:tc>
        <w:tc>
          <w:tcPr>
            <w:tcW w:w="763" w:type="dxa"/>
            <w:vMerge w:val="restart"/>
            <w:vAlign w:val="center"/>
          </w:tcPr>
          <w:p>
            <w:pPr>
              <w:pStyle w:val="16"/>
            </w:pPr>
            <w:r>
              <w:rPr>
                <w:rFonts w:hint="eastAsia"/>
              </w:rPr>
              <w:t>数量</w:t>
            </w:r>
          </w:p>
        </w:tc>
        <w:tc>
          <w:tcPr>
            <w:tcW w:w="768" w:type="dxa"/>
            <w:vMerge w:val="restart"/>
            <w:vAlign w:val="center"/>
          </w:tcPr>
          <w:p>
            <w:pPr>
              <w:pStyle w:val="16"/>
            </w:pPr>
            <w:r>
              <w:rPr>
                <w:rFonts w:hint="eastAsia"/>
              </w:rPr>
              <w:t>单价</w:t>
            </w:r>
          </w:p>
        </w:tc>
        <w:tc>
          <w:tcPr>
            <w:tcW w:w="6932" w:type="dxa"/>
            <w:gridSpan w:val="8"/>
            <w:vAlign w:val="center"/>
          </w:tcPr>
          <w:p>
            <w:pPr>
              <w:pStyle w:val="16"/>
            </w:pPr>
            <w:r>
              <w:rPr>
                <w:rFonts w:hint="eastAsia"/>
              </w:rPr>
              <w:t>政府采购金额（当年部门预算安排资金）</w:t>
            </w:r>
          </w:p>
        </w:tc>
        <w:tc>
          <w:tcPr>
            <w:tcW w:w="868" w:type="dxa"/>
            <w:vMerge w:val="restart"/>
            <w:vAlign w:val="center"/>
          </w:tcPr>
          <w:p>
            <w:pPr>
              <w:pStyle w:val="16"/>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96" w:hRule="atLeast"/>
          <w:tblHeader/>
          <w:jc w:val="center"/>
        </w:trPr>
        <w:tc>
          <w:tcPr>
            <w:tcW w:w="1528" w:type="dxa"/>
            <w:vAlign w:val="center"/>
          </w:tcPr>
          <w:p>
            <w:pPr>
              <w:pStyle w:val="16"/>
            </w:pPr>
            <w:r>
              <w:rPr>
                <w:rFonts w:hint="eastAsia"/>
              </w:rPr>
              <w:t>项目名称</w:t>
            </w:r>
          </w:p>
        </w:tc>
        <w:tc>
          <w:tcPr>
            <w:tcW w:w="867" w:type="dxa"/>
            <w:vAlign w:val="center"/>
          </w:tcPr>
          <w:p>
            <w:pPr>
              <w:pStyle w:val="16"/>
            </w:pPr>
            <w:r>
              <w:rPr>
                <w:rFonts w:hint="eastAsia"/>
              </w:rPr>
              <w:t>预算</w:t>
            </w:r>
            <w:r>
              <w:t xml:space="preserve">    </w:t>
            </w:r>
            <w:r>
              <w:rPr>
                <w:rFonts w:hint="eastAsia"/>
              </w:rPr>
              <w:t>资金</w:t>
            </w:r>
          </w:p>
        </w:tc>
        <w:tc>
          <w:tcPr>
            <w:tcW w:w="1018" w:type="dxa"/>
            <w:vMerge w:val="continue"/>
          </w:tcPr>
          <w:p/>
        </w:tc>
        <w:tc>
          <w:tcPr>
            <w:tcW w:w="1018" w:type="dxa"/>
            <w:vMerge w:val="continue"/>
          </w:tcPr>
          <w:p/>
        </w:tc>
        <w:tc>
          <w:tcPr>
            <w:tcW w:w="637" w:type="dxa"/>
            <w:vMerge w:val="continue"/>
          </w:tcPr>
          <w:p/>
        </w:tc>
        <w:tc>
          <w:tcPr>
            <w:tcW w:w="763" w:type="dxa"/>
            <w:vMerge w:val="continue"/>
          </w:tcPr>
          <w:p/>
        </w:tc>
        <w:tc>
          <w:tcPr>
            <w:tcW w:w="768" w:type="dxa"/>
            <w:vMerge w:val="continue"/>
          </w:tcPr>
          <w:p/>
        </w:tc>
        <w:tc>
          <w:tcPr>
            <w:tcW w:w="866" w:type="dxa"/>
            <w:vAlign w:val="center"/>
          </w:tcPr>
          <w:p>
            <w:pPr>
              <w:pStyle w:val="16"/>
            </w:pPr>
            <w:r>
              <w:rPr>
                <w:rFonts w:hint="eastAsia"/>
              </w:rPr>
              <w:t>合计</w:t>
            </w:r>
          </w:p>
        </w:tc>
        <w:tc>
          <w:tcPr>
            <w:tcW w:w="866" w:type="dxa"/>
            <w:vAlign w:val="center"/>
          </w:tcPr>
          <w:p>
            <w:pPr>
              <w:pStyle w:val="16"/>
            </w:pPr>
            <w:r>
              <w:rPr>
                <w:rFonts w:hint="eastAsia"/>
              </w:rPr>
              <w:t>一般公共预算拨款</w:t>
            </w:r>
          </w:p>
        </w:tc>
        <w:tc>
          <w:tcPr>
            <w:tcW w:w="866" w:type="dxa"/>
            <w:vAlign w:val="center"/>
          </w:tcPr>
          <w:p>
            <w:pPr>
              <w:pStyle w:val="16"/>
            </w:pPr>
            <w:r>
              <w:rPr>
                <w:rFonts w:hint="eastAsia"/>
              </w:rPr>
              <w:t>基金预算拨款</w:t>
            </w:r>
          </w:p>
        </w:tc>
        <w:tc>
          <w:tcPr>
            <w:tcW w:w="866" w:type="dxa"/>
            <w:vAlign w:val="center"/>
          </w:tcPr>
          <w:p>
            <w:pPr>
              <w:pStyle w:val="16"/>
            </w:pPr>
            <w:r>
              <w:rPr>
                <w:rFonts w:hint="eastAsia"/>
              </w:rPr>
              <w:t>国有资本经营预算拨款</w:t>
            </w:r>
          </w:p>
        </w:tc>
        <w:tc>
          <w:tcPr>
            <w:tcW w:w="866" w:type="dxa"/>
            <w:vAlign w:val="center"/>
          </w:tcPr>
          <w:p>
            <w:pPr>
              <w:pStyle w:val="16"/>
            </w:pPr>
            <w:r>
              <w:rPr>
                <w:rFonts w:hint="eastAsia"/>
              </w:rPr>
              <w:t>财政专户核拨</w:t>
            </w:r>
          </w:p>
        </w:tc>
        <w:tc>
          <w:tcPr>
            <w:tcW w:w="866" w:type="dxa"/>
            <w:vAlign w:val="center"/>
          </w:tcPr>
          <w:p>
            <w:pPr>
              <w:pStyle w:val="16"/>
            </w:pPr>
            <w:r>
              <w:rPr>
                <w:rFonts w:hint="eastAsia"/>
              </w:rPr>
              <w:t>单位</w:t>
            </w:r>
            <w:r>
              <w:t xml:space="preserve">    </w:t>
            </w:r>
            <w:r>
              <w:rPr>
                <w:rFonts w:hint="eastAsia"/>
              </w:rPr>
              <w:t>资金</w:t>
            </w:r>
          </w:p>
        </w:tc>
        <w:tc>
          <w:tcPr>
            <w:tcW w:w="866" w:type="dxa"/>
            <w:vAlign w:val="center"/>
          </w:tcPr>
          <w:p>
            <w:pPr>
              <w:pStyle w:val="16"/>
            </w:pPr>
            <w:r>
              <w:rPr>
                <w:rFonts w:hint="eastAsia"/>
              </w:rPr>
              <w:t>财政拨</w:t>
            </w:r>
            <w:r>
              <w:t xml:space="preserve">    </w:t>
            </w:r>
            <w:r>
              <w:rPr>
                <w:rFonts w:hint="eastAsia"/>
              </w:rPr>
              <w:t>款结转</w:t>
            </w:r>
          </w:p>
        </w:tc>
        <w:tc>
          <w:tcPr>
            <w:tcW w:w="870" w:type="dxa"/>
            <w:vAlign w:val="center"/>
          </w:tcPr>
          <w:p>
            <w:pPr>
              <w:pStyle w:val="16"/>
            </w:pPr>
            <w:r>
              <w:rPr>
                <w:rFonts w:hint="eastAsia"/>
              </w:rPr>
              <w:t>非财政</w:t>
            </w:r>
            <w:r>
              <w:t xml:space="preserve">    </w:t>
            </w:r>
            <w:r>
              <w:rPr>
                <w:rFonts w:hint="eastAsia"/>
              </w:rPr>
              <w:t>拨款结</w:t>
            </w:r>
            <w:r>
              <w:t xml:space="preserve">    </w:t>
            </w:r>
            <w:r>
              <w:rPr>
                <w:rFonts w:hint="eastAsia"/>
              </w:rPr>
              <w:t>转结余</w:t>
            </w:r>
          </w:p>
        </w:tc>
        <w:tc>
          <w:tcPr>
            <w:tcW w:w="86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0" w:hRule="atLeast"/>
          <w:jc w:val="center"/>
        </w:trPr>
        <w:tc>
          <w:tcPr>
            <w:tcW w:w="1528" w:type="dxa"/>
            <w:vAlign w:val="center"/>
          </w:tcPr>
          <w:p>
            <w:pPr>
              <w:pStyle w:val="18"/>
            </w:pPr>
          </w:p>
        </w:tc>
        <w:tc>
          <w:tcPr>
            <w:tcW w:w="867" w:type="dxa"/>
            <w:vAlign w:val="center"/>
          </w:tcPr>
          <w:p>
            <w:pPr>
              <w:pStyle w:val="17"/>
            </w:pPr>
          </w:p>
        </w:tc>
        <w:tc>
          <w:tcPr>
            <w:tcW w:w="1018" w:type="dxa"/>
            <w:vAlign w:val="center"/>
          </w:tcPr>
          <w:p>
            <w:pPr>
              <w:pStyle w:val="18"/>
            </w:pPr>
          </w:p>
        </w:tc>
        <w:tc>
          <w:tcPr>
            <w:tcW w:w="1018" w:type="dxa"/>
            <w:vAlign w:val="center"/>
          </w:tcPr>
          <w:p>
            <w:pPr>
              <w:pStyle w:val="18"/>
            </w:pPr>
          </w:p>
        </w:tc>
        <w:tc>
          <w:tcPr>
            <w:tcW w:w="637" w:type="dxa"/>
            <w:vAlign w:val="center"/>
          </w:tcPr>
          <w:p>
            <w:pPr>
              <w:pStyle w:val="19"/>
            </w:pPr>
          </w:p>
        </w:tc>
        <w:tc>
          <w:tcPr>
            <w:tcW w:w="763" w:type="dxa"/>
            <w:vAlign w:val="center"/>
          </w:tcPr>
          <w:p>
            <w:pPr>
              <w:pStyle w:val="17"/>
            </w:pPr>
          </w:p>
        </w:tc>
        <w:tc>
          <w:tcPr>
            <w:tcW w:w="768" w:type="dxa"/>
            <w:vAlign w:val="center"/>
          </w:tcPr>
          <w:p>
            <w:pPr>
              <w:pStyle w:val="17"/>
            </w:pPr>
          </w:p>
        </w:tc>
        <w:tc>
          <w:tcPr>
            <w:tcW w:w="866" w:type="dxa"/>
            <w:vAlign w:val="center"/>
          </w:tcPr>
          <w:p>
            <w:pPr>
              <w:pStyle w:val="17"/>
            </w:pPr>
          </w:p>
        </w:tc>
        <w:tc>
          <w:tcPr>
            <w:tcW w:w="866" w:type="dxa"/>
            <w:vAlign w:val="center"/>
          </w:tcPr>
          <w:p>
            <w:pPr>
              <w:pStyle w:val="17"/>
            </w:pPr>
          </w:p>
        </w:tc>
        <w:tc>
          <w:tcPr>
            <w:tcW w:w="866" w:type="dxa"/>
            <w:vAlign w:val="center"/>
          </w:tcPr>
          <w:p>
            <w:pPr>
              <w:pStyle w:val="17"/>
            </w:pPr>
          </w:p>
        </w:tc>
        <w:tc>
          <w:tcPr>
            <w:tcW w:w="866" w:type="dxa"/>
            <w:vAlign w:val="center"/>
          </w:tcPr>
          <w:p>
            <w:pPr>
              <w:pStyle w:val="17"/>
            </w:pPr>
          </w:p>
        </w:tc>
        <w:tc>
          <w:tcPr>
            <w:tcW w:w="866" w:type="dxa"/>
            <w:vAlign w:val="center"/>
          </w:tcPr>
          <w:p>
            <w:pPr>
              <w:pStyle w:val="17"/>
            </w:pPr>
          </w:p>
        </w:tc>
        <w:tc>
          <w:tcPr>
            <w:tcW w:w="866" w:type="dxa"/>
            <w:vAlign w:val="center"/>
          </w:tcPr>
          <w:p>
            <w:pPr>
              <w:pStyle w:val="17"/>
            </w:pPr>
          </w:p>
        </w:tc>
        <w:tc>
          <w:tcPr>
            <w:tcW w:w="866" w:type="dxa"/>
            <w:vAlign w:val="center"/>
          </w:tcPr>
          <w:p>
            <w:pPr>
              <w:pStyle w:val="17"/>
            </w:pPr>
          </w:p>
        </w:tc>
        <w:tc>
          <w:tcPr>
            <w:tcW w:w="870" w:type="dxa"/>
            <w:vAlign w:val="center"/>
          </w:tcPr>
          <w:p>
            <w:pPr>
              <w:pStyle w:val="17"/>
            </w:pPr>
          </w:p>
        </w:tc>
        <w:tc>
          <w:tcPr>
            <w:tcW w:w="868" w:type="dxa"/>
            <w:vAlign w:val="center"/>
          </w:tcPr>
          <w:p>
            <w:pPr>
              <w:pStyle w:val="17"/>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hint="eastAsia"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pPr>
      <w:r>
        <w:rPr>
          <w:rFonts w:hint="eastAsia" w:eastAsia="方正仿宋_GBK"/>
          <w:color w:val="000000"/>
          <w:sz w:val="28"/>
          <w:lang w:eastAsia="zh-CN"/>
        </w:rPr>
        <w:t>涞水县胡家庄乡人民政府</w:t>
      </w:r>
      <w:r>
        <w:rPr>
          <w:rFonts w:hint="eastAsia" w:eastAsia="方正仿宋_GBK"/>
          <w:color w:val="000000"/>
          <w:sz w:val="28"/>
        </w:rPr>
        <w:t>上年末固定资产金额为</w:t>
      </w:r>
      <w:r>
        <w:rPr>
          <w:rFonts w:eastAsia="方正仿宋_GBK"/>
          <w:color w:val="000000"/>
          <w:sz w:val="28"/>
        </w:rPr>
        <w:t>0.00</w:t>
      </w:r>
      <w:r>
        <w:rPr>
          <w:rFonts w:hint="eastAsia" w:eastAsia="方正仿宋_GBK"/>
          <w:color w:val="000000"/>
          <w:sz w:val="28"/>
        </w:rPr>
        <w:t>万元（详见下表）。本年度拟购置固定资产总额为</w:t>
      </w:r>
      <w:r>
        <w:rPr>
          <w:rFonts w:eastAsia="方正仿宋_GBK"/>
          <w:color w:val="000000"/>
          <w:sz w:val="28"/>
        </w:rPr>
        <w:t>0.00</w:t>
      </w:r>
      <w:r>
        <w:rPr>
          <w:rFonts w:hint="eastAsia" w:eastAsia="方正仿宋_GBK"/>
          <w:color w:val="000000"/>
          <w:sz w:val="28"/>
        </w:rPr>
        <w:t>万元。</w:t>
      </w:r>
    </w:p>
    <w:p>
      <w:pPr>
        <w:jc w:val="center"/>
        <w:rPr>
          <w:rFonts w:hint="eastAsia" w:ascii="方正小标宋_GBK" w:hAnsi="方正小标宋_GBK" w:eastAsia="方正小标宋_GBK" w:cs="方正小标宋_GBK"/>
          <w:color w:val="000000"/>
          <w:sz w:val="36"/>
        </w:rPr>
      </w:pPr>
    </w:p>
    <w:p>
      <w:pPr>
        <w:jc w:val="center"/>
      </w:pPr>
      <w:r>
        <w:rPr>
          <w:rFonts w:hint="eastAsia" w:ascii="方正小标宋_GBK" w:hAnsi="方正小标宋_GBK" w:eastAsia="方正小标宋_GBK" w:cs="方正小标宋_GBK"/>
          <w:color w:val="000000"/>
          <w:sz w:val="36"/>
        </w:rPr>
        <w:t>单位固定资产占用情况表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5"/>
            </w:pPr>
            <w:r>
              <w:rPr>
                <w:rFonts w:hint="eastAsia"/>
                <w:lang w:val="en-US" w:eastAsia="zh-CN"/>
              </w:rPr>
              <w:t>809003</w:t>
            </w:r>
            <w:r>
              <w:rPr>
                <w:rFonts w:hint="eastAsia"/>
                <w:lang w:eastAsia="zh-CN"/>
              </w:rPr>
              <w:t>涞水县胡家庄乡人民政府</w:t>
            </w:r>
          </w:p>
        </w:tc>
        <w:tc>
          <w:tcPr>
            <w:tcW w:w="5669" w:type="dxa"/>
            <w:gridSpan w:val="2"/>
            <w:tcBorders>
              <w:top w:val="single" w:color="FFFFFF" w:sz="6" w:space="0"/>
              <w:left w:val="single" w:color="FFFFFF" w:sz="6" w:space="0"/>
              <w:right w:val="single" w:color="FFFFFF" w:sz="6" w:space="0"/>
            </w:tcBorders>
            <w:vAlign w:val="center"/>
          </w:tcPr>
          <w:p>
            <w:pPr>
              <w:pStyle w:val="13"/>
            </w:pPr>
            <w:r>
              <w:rPr>
                <w:rFonts w:hint="eastAsia"/>
              </w:rPr>
              <w:t>截止时间：</w:t>
            </w:r>
            <w:r>
              <w:t>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6"/>
            </w:pPr>
            <w:r>
              <w:rPr>
                <w:rFonts w:hint="eastAsia"/>
              </w:rPr>
              <w:t>项</w:t>
            </w:r>
            <w:r>
              <w:t xml:space="preserve">   </w:t>
            </w:r>
            <w:r>
              <w:rPr>
                <w:rFonts w:hint="eastAsia"/>
              </w:rPr>
              <w:t>目</w:t>
            </w:r>
          </w:p>
        </w:tc>
        <w:tc>
          <w:tcPr>
            <w:tcW w:w="2835" w:type="dxa"/>
            <w:vAlign w:val="center"/>
          </w:tcPr>
          <w:p>
            <w:pPr>
              <w:pStyle w:val="16"/>
            </w:pPr>
            <w:r>
              <w:rPr>
                <w:rFonts w:hint="eastAsia"/>
              </w:rPr>
              <w:t>数量</w:t>
            </w:r>
          </w:p>
        </w:tc>
        <w:tc>
          <w:tcPr>
            <w:tcW w:w="2835" w:type="dxa"/>
            <w:vAlign w:val="center"/>
          </w:tcPr>
          <w:p>
            <w:pPr>
              <w:pStyle w:val="16"/>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p>
        </w:tc>
        <w:tc>
          <w:tcPr>
            <w:tcW w:w="2835" w:type="dxa"/>
            <w:vAlign w:val="center"/>
          </w:tcPr>
          <w:p>
            <w:pPr>
              <w:pStyle w:val="19"/>
            </w:pPr>
          </w:p>
        </w:tc>
        <w:tc>
          <w:tcPr>
            <w:tcW w:w="2835" w:type="dxa"/>
            <w:vAlign w:val="center"/>
          </w:tcPr>
          <w:p>
            <w:pPr>
              <w:pStyle w:val="17"/>
            </w:pPr>
          </w:p>
        </w:tc>
      </w:tr>
    </w:tbl>
    <w:p>
      <w:pPr>
        <w:ind w:firstLine="840" w:firstLineChars="400"/>
      </w:pPr>
      <w:r>
        <w:rPr>
          <w:rFonts w:hint="eastAsia"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eastAsia="zh-CN"/>
        </w:rPr>
        <w:t>县（区）级</w:t>
      </w:r>
      <w:r>
        <w:rPr>
          <w:rFonts w:hint="eastAsia" w:eastAsia="方正仿宋_GBK"/>
          <w:color w:val="000000"/>
          <w:sz w:val="28"/>
        </w:rPr>
        <w:t>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eastAsia="zh-CN"/>
        </w:rPr>
        <w:t>县（区）级</w:t>
      </w:r>
      <w:r>
        <w:rPr>
          <w:rFonts w:hint="eastAsia" w:eastAsia="方正仿宋_GBK"/>
          <w:color w:val="000000"/>
          <w:sz w:val="28"/>
        </w:rPr>
        <w:t>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eastAsia="zh-CN"/>
        </w:rPr>
        <w:sectPr>
          <w:type w:val="continuous"/>
          <w:pgSz w:w="16840" w:h="11900" w:orient="landscape"/>
          <w:pgMar w:top="1361" w:right="1021" w:bottom="1134" w:left="1021" w:header="720" w:footer="720" w:gutter="0"/>
          <w:cols w:space="720" w:num="1"/>
        </w:sectPr>
      </w:pPr>
      <w:r>
        <w:rPr>
          <w:rFonts w:hint="eastAsia" w:eastAsia="方正仿宋_GBK"/>
          <w:color w:val="000000"/>
          <w:sz w:val="28"/>
        </w:rPr>
        <w:t>我单位无其他需要说明的事项</w:t>
      </w:r>
      <w:r>
        <w:rPr>
          <w:rFonts w:hint="eastAsia" w:eastAsia="方正仿宋_GBK"/>
          <w:color w:val="000000"/>
          <w:sz w:val="28"/>
          <w:lang w:eastAsia="zh-CN"/>
        </w:rPr>
        <w:t>。</w:t>
      </w:r>
    </w:p>
    <w:p>
      <w:pPr>
        <w:jc w:val="both"/>
        <w:outlineLvl w:val="3"/>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script"/>
    <w:pitch w:val="default"/>
    <w:sig w:usb0="00000000" w:usb1="00000000" w:usb2="0000001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Style w:val="12"/>
      </w:rPr>
      <w:fldChar w:fldCharType="begin"/>
    </w:r>
    <w:r>
      <w:rPr>
        <w:rStyle w:val="12"/>
      </w:rPr>
      <w:instrText xml:space="preserve"> PAGE </w:instrText>
    </w:r>
    <w:r>
      <w:rPr>
        <w:rStyle w:val="12"/>
      </w:rPr>
      <w:fldChar w:fldCharType="separate"/>
    </w:r>
    <w:r>
      <w:rPr>
        <w:rStyle w:val="12"/>
      </w:rPr>
      <w:t>2</w:t>
    </w:r>
    <w:r>
      <w:rPr>
        <w:rStyle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4"/>
                            <w:jc w:val="right"/>
                          </w:pPr>
                          <w:r>
                            <w:rPr>
                              <w:rStyle w:val="12"/>
                            </w:rPr>
                            <w:fldChar w:fldCharType="begin"/>
                          </w:r>
                          <w:r>
                            <w:rPr>
                              <w:rStyle w:val="12"/>
                            </w:rPr>
                            <w:instrText xml:space="preserve"> PAGE </w:instrText>
                          </w:r>
                          <w:r>
                            <w:rPr>
                              <w:rStyle w:val="12"/>
                            </w:rPr>
                            <w:fldChar w:fldCharType="separate"/>
                          </w:r>
                          <w:r>
                            <w:rPr>
                              <w:rStyle w:val="12"/>
                            </w:rPr>
                            <w:t>1</w:t>
                          </w:r>
                          <w:r>
                            <w:rPr>
                              <w:rStyle w:val="12"/>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PBAlRrs&#10;AQAA1QMAAA4AAAAAAAAAAQAgAAAAHgEAAGRycy9lMm9Eb2MueG1sUEsFBgAAAAAGAAYAWQEAAHwF&#10;AAAAAA==&#10;">
              <v:fill on="f" focussize="0,0"/>
              <v:stroke on="f"/>
              <v:imagedata o:title=""/>
              <o:lock v:ext="edit" aspectratio="f"/>
              <v:textbox inset="0mm,0mm,0mm,0mm" style="mso-fit-shape-to-text:t;">
                <w:txbxContent>
                  <w:p>
                    <w:pPr>
                      <w:pStyle w:val="4"/>
                      <w:jc w:val="right"/>
                    </w:pPr>
                    <w:r>
                      <w:rPr>
                        <w:rStyle w:val="12"/>
                      </w:rPr>
                      <w:fldChar w:fldCharType="begin"/>
                    </w:r>
                    <w:r>
                      <w:rPr>
                        <w:rStyle w:val="12"/>
                      </w:rPr>
                      <w:instrText xml:space="preserve"> PAGE </w:instrText>
                    </w:r>
                    <w:r>
                      <w:rPr>
                        <w:rStyle w:val="12"/>
                      </w:rPr>
                      <w:fldChar w:fldCharType="separate"/>
                    </w:r>
                    <w:r>
                      <w:rPr>
                        <w:rStyle w:val="12"/>
                      </w:rPr>
                      <w:t>1</w:t>
                    </w:r>
                    <w:r>
                      <w:rPr>
                        <w:rStyle w:val="12"/>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
                            <w:fldChar w:fldCharType="begin"/>
                          </w:r>
                          <w:r>
                            <w:instrText xml:space="preserve">PAGE "page number"</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CBEH87s&#10;AQAA1QMAAA4AAAAAAAAAAQAgAAAAHgEAAGRycy9lMm9Eb2MueG1sUEsFBgAAAAAGAAYAWQEAAHwF&#10;AAAAAA==&#10;">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8E4728"/>
    <w:multiLevelType w:val="singleLevel"/>
    <w:tmpl w:val="3A8E4728"/>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00781D3A"/>
    <w:rsid w:val="00064159"/>
    <w:rsid w:val="00120163"/>
    <w:rsid w:val="00182D82"/>
    <w:rsid w:val="001B15F6"/>
    <w:rsid w:val="00201266"/>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3AB1B08"/>
    <w:rsid w:val="052B4646"/>
    <w:rsid w:val="10D1007D"/>
    <w:rsid w:val="158F5031"/>
    <w:rsid w:val="1B7A032D"/>
    <w:rsid w:val="1D630922"/>
    <w:rsid w:val="20E92B59"/>
    <w:rsid w:val="21F13F06"/>
    <w:rsid w:val="22090B6C"/>
    <w:rsid w:val="279D013C"/>
    <w:rsid w:val="28C26B2C"/>
    <w:rsid w:val="2B0B2850"/>
    <w:rsid w:val="303F5CC1"/>
    <w:rsid w:val="309D49DC"/>
    <w:rsid w:val="35EF7071"/>
    <w:rsid w:val="391B70EA"/>
    <w:rsid w:val="3A4B0C5C"/>
    <w:rsid w:val="3B8F458E"/>
    <w:rsid w:val="3F033BBB"/>
    <w:rsid w:val="4130167D"/>
    <w:rsid w:val="44175780"/>
    <w:rsid w:val="45C2470E"/>
    <w:rsid w:val="48390A7E"/>
    <w:rsid w:val="4D211275"/>
    <w:rsid w:val="51D86600"/>
    <w:rsid w:val="539404AE"/>
    <w:rsid w:val="550E11EB"/>
    <w:rsid w:val="562A7E7A"/>
    <w:rsid w:val="57D807E3"/>
    <w:rsid w:val="5C720816"/>
    <w:rsid w:val="5F5544C0"/>
    <w:rsid w:val="617B055D"/>
    <w:rsid w:val="61B05593"/>
    <w:rsid w:val="660F1294"/>
    <w:rsid w:val="67EA7C22"/>
    <w:rsid w:val="6FE5312D"/>
    <w:rsid w:val="70841E45"/>
    <w:rsid w:val="73647B06"/>
    <w:rsid w:val="73797D8B"/>
    <w:rsid w:val="74745854"/>
    <w:rsid w:val="763D3C1F"/>
    <w:rsid w:val="781B010E"/>
    <w:rsid w:val="7CD85C1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Plain Text"/>
    <w:basedOn w:val="1"/>
    <w:qFormat/>
    <w:uiPriority w:val="0"/>
    <w:rPr>
      <w:rFonts w:ascii="宋体" w:hAnsi="Courier New" w:cs="Courier New"/>
      <w:szCs w:val="21"/>
    </w:rPr>
  </w:style>
  <w:style w:type="paragraph" w:styleId="4">
    <w:name w:val="footer"/>
    <w:basedOn w:val="1"/>
    <w:link w:val="36"/>
    <w:autoRedefine/>
    <w:qFormat/>
    <w:uiPriority w:val="99"/>
    <w:pPr>
      <w:tabs>
        <w:tab w:val="center" w:pos="4153"/>
        <w:tab w:val="right" w:pos="8306"/>
      </w:tabs>
      <w:snapToGrid w:val="0"/>
    </w:pPr>
    <w:rPr>
      <w:sz w:val="18"/>
      <w:szCs w:val="18"/>
    </w:rPr>
  </w:style>
  <w:style w:type="paragraph" w:styleId="5">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99"/>
    <w:pPr>
      <w:spacing w:before="120"/>
      <w:ind w:firstLine="560"/>
    </w:pPr>
    <w:rPr>
      <w:rFonts w:eastAsia="方正仿宋_GBK"/>
      <w:color w:val="000000"/>
      <w:sz w:val="28"/>
    </w:rPr>
  </w:style>
  <w:style w:type="paragraph" w:styleId="7">
    <w:name w:val="toc 4"/>
    <w:basedOn w:val="1"/>
    <w:next w:val="1"/>
    <w:autoRedefine/>
    <w:qFormat/>
    <w:uiPriority w:val="99"/>
    <w:pPr>
      <w:ind w:left="720"/>
    </w:pPr>
  </w:style>
  <w:style w:type="paragraph" w:styleId="8">
    <w:name w:val="toc 2"/>
    <w:basedOn w:val="1"/>
    <w:next w:val="1"/>
    <w:autoRedefine/>
    <w:qFormat/>
    <w:uiPriority w:val="99"/>
    <w:pPr>
      <w:ind w:left="240"/>
    </w:pPr>
  </w:style>
  <w:style w:type="table" w:styleId="10">
    <w:name w:val="Table Grid"/>
    <w:basedOn w:val="9"/>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qFormat/>
    <w:uiPriority w:val="99"/>
    <w:rPr>
      <w:rFonts w:cs="Times New Roman"/>
    </w:rPr>
  </w:style>
  <w:style w:type="paragraph" w:customStyle="1" w:styleId="13">
    <w:name w:val="单元格样式22"/>
    <w:basedOn w:val="1"/>
    <w:qFormat/>
    <w:uiPriority w:val="99"/>
    <w:pPr>
      <w:jc w:val="right"/>
    </w:pPr>
    <w:rPr>
      <w:rFonts w:ascii="方正小标宋_GBK" w:hAnsi="方正小标宋_GBK" w:eastAsia="方正小标宋_GBK" w:cs="方正小标宋_GBK"/>
    </w:rPr>
  </w:style>
  <w:style w:type="paragraph" w:customStyle="1" w:styleId="14">
    <w:name w:val="单元格样式21"/>
    <w:basedOn w:val="1"/>
    <w:autoRedefine/>
    <w:qFormat/>
    <w:uiPriority w:val="99"/>
    <w:pPr>
      <w:jc w:val="center"/>
    </w:pPr>
    <w:rPr>
      <w:rFonts w:ascii="方正小标宋_GBK" w:hAnsi="方正小标宋_GBK" w:eastAsia="方正小标宋_GBK" w:cs="方正小标宋_GBK"/>
    </w:rPr>
  </w:style>
  <w:style w:type="paragraph" w:customStyle="1" w:styleId="15">
    <w:name w:val="单元格样式20"/>
    <w:basedOn w:val="1"/>
    <w:qFormat/>
    <w:uiPriority w:val="99"/>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autoRedefine/>
    <w:qFormat/>
    <w:uiPriority w:val="99"/>
    <w:pPr>
      <w:jc w:val="right"/>
    </w:pPr>
    <w:rPr>
      <w:rFonts w:ascii="方正书宋_GBK" w:hAnsi="方正书宋_GBK" w:eastAsia="方正书宋_GBK" w:cs="方正书宋_GBK"/>
      <w:sz w:val="21"/>
    </w:rPr>
  </w:style>
  <w:style w:type="paragraph" w:customStyle="1" w:styleId="18">
    <w:name w:val="单元格样式2"/>
    <w:basedOn w:val="1"/>
    <w:qFormat/>
    <w:uiPriority w:val="99"/>
    <w:rPr>
      <w:rFonts w:ascii="方正书宋_GBK" w:hAnsi="方正书宋_GBK" w:eastAsia="方正书宋_GBK" w:cs="方正书宋_GBK"/>
      <w:sz w:val="21"/>
    </w:rPr>
  </w:style>
  <w:style w:type="paragraph" w:customStyle="1" w:styleId="19">
    <w:name w:val="单元格样式3"/>
    <w:basedOn w:val="1"/>
    <w:qFormat/>
    <w:uiPriority w:val="99"/>
    <w:pPr>
      <w:jc w:val="center"/>
    </w:pPr>
    <w:rPr>
      <w:rFonts w:ascii="方正书宋_GBK" w:hAnsi="方正书宋_GBK" w:eastAsia="方正书宋_GBK" w:cs="方正书宋_GBK"/>
      <w:sz w:val="21"/>
    </w:rPr>
  </w:style>
  <w:style w:type="paragraph" w:customStyle="1" w:styleId="20">
    <w:name w:val="单元格样式6"/>
    <w:basedOn w:val="1"/>
    <w:autoRedefine/>
    <w:qFormat/>
    <w:uiPriority w:val="99"/>
    <w:pPr>
      <w:jc w:val="center"/>
    </w:pPr>
    <w:rPr>
      <w:rFonts w:ascii="方正书宋_GBK" w:hAnsi="方正书宋_GBK" w:eastAsia="方正书宋_GBK" w:cs="方正书宋_GBK"/>
      <w:b/>
      <w:sz w:val="21"/>
    </w:rPr>
  </w:style>
  <w:style w:type="paragraph" w:customStyle="1" w:styleId="21">
    <w:name w:val="单元格样式7"/>
    <w:basedOn w:val="1"/>
    <w:qFormat/>
    <w:uiPriority w:val="99"/>
    <w:pPr>
      <w:jc w:val="right"/>
    </w:pPr>
    <w:rPr>
      <w:rFonts w:ascii="方正书宋_GBK" w:hAnsi="方正书宋_GBK" w:eastAsia="方正书宋_GBK" w:cs="方正书宋_GBK"/>
      <w:b/>
      <w:sz w:val="21"/>
    </w:rPr>
  </w:style>
  <w:style w:type="paragraph" w:customStyle="1" w:styleId="22">
    <w:name w:val="单元格样式5"/>
    <w:basedOn w:val="1"/>
    <w:qFormat/>
    <w:uiPriority w:val="99"/>
    <w:rPr>
      <w:rFonts w:ascii="方正书宋_GBK" w:hAnsi="方正书宋_GBK" w:eastAsia="方正书宋_GBK" w:cs="方正书宋_GBK"/>
      <w:b/>
      <w:sz w:val="21"/>
    </w:rPr>
  </w:style>
  <w:style w:type="paragraph" w:customStyle="1" w:styleId="23">
    <w:name w:val="插入文本样式-插入部门职责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5">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autoRedefine/>
    <w:qFormat/>
    <w:uiPriority w:val="99"/>
    <w:pPr>
      <w:spacing w:line="500" w:lineRule="exact"/>
      <w:ind w:firstLine="560"/>
    </w:pPr>
    <w:rPr>
      <w:rFonts w:eastAsia="方正仿宋_GBK"/>
      <w:sz w:val="28"/>
    </w:rPr>
  </w:style>
  <w:style w:type="paragraph" w:customStyle="1" w:styleId="27">
    <w:name w:val="插入文本样式-插入总体目标文件"/>
    <w:basedOn w:val="1"/>
    <w:qFormat/>
    <w:uiPriority w:val="99"/>
    <w:pPr>
      <w:spacing w:line="500" w:lineRule="exact"/>
      <w:ind w:firstLine="560"/>
    </w:pPr>
    <w:rPr>
      <w:rFonts w:eastAsia="方正仿宋_GBK"/>
      <w:sz w:val="28"/>
    </w:rPr>
  </w:style>
  <w:style w:type="paragraph" w:customStyle="1" w:styleId="28">
    <w:name w:val="插入文本样式-插入职责分类绩效目标文件"/>
    <w:basedOn w:val="1"/>
    <w:qFormat/>
    <w:uiPriority w:val="99"/>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30">
    <w:name w:val="单元格样式23"/>
    <w:basedOn w:val="1"/>
    <w:qFormat/>
    <w:uiPriority w:val="99"/>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99"/>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5">
    <w:name w:val="页眉 Char"/>
    <w:basedOn w:val="11"/>
    <w:link w:val="5"/>
    <w:qFormat/>
    <w:locked/>
    <w:uiPriority w:val="99"/>
    <w:rPr>
      <w:rFonts w:eastAsia="Times New Roman" w:cs="Times New Roman"/>
      <w:sz w:val="18"/>
      <w:szCs w:val="18"/>
      <w:lang w:eastAsia="uk-UA"/>
    </w:rPr>
  </w:style>
  <w:style w:type="character" w:customStyle="1" w:styleId="36">
    <w:name w:val="页脚 Char"/>
    <w:basedOn w:val="11"/>
    <w:link w:val="4"/>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39</Pages>
  <Words>12885</Words>
  <Characters>15249</Characters>
  <Lines>127</Lines>
  <Paragraphs>36</Paragraphs>
  <TotalTime>6</TotalTime>
  <ScaleCrop>false</ScaleCrop>
  <LinksUpToDate>false</LinksUpToDate>
  <CharactersWithSpaces>19182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八爪小鱼</cp:lastModifiedBy>
  <dcterms:modified xsi:type="dcterms:W3CDTF">2024-01-24T09:49:46Z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46ED276FE4EF4CE3A3626E9D681ADC56</vt:lpwstr>
  </property>
</Properties>
</file>