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 xml:space="preserve">中国人民政治协商会议河北省涞水县委员会                                                                </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中国人民政治协商会议河北省涞水县委员会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涞水县中国人民政治协商会议河北省                                                                 涞水县委员会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wordWrap w:val="0"/>
              <w:rPr>
                <w:rFonts w:hint="default" w:eastAsiaTheme="minorEastAsia"/>
                <w:lang w:val="en-US" w:eastAsia="zh-CN"/>
              </w:rPr>
            </w:pPr>
            <w:r>
              <w:rPr>
                <w:rFonts w:hint="eastAsia" w:eastAsiaTheme="minorEastAsia"/>
                <w:lang w:val="en-US" w:eastAsia="zh-CN"/>
              </w:rPr>
              <w:t>343.98</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307.91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jc w:val="center"/>
              <w:rPr>
                <w:rFonts w:hint="default" w:eastAsiaTheme="minorEastAsia"/>
                <w:lang w:val="en-US" w:eastAsia="zh-CN"/>
              </w:rPr>
            </w:pPr>
            <w:r>
              <w:rPr>
                <w:rFonts w:hint="eastAsia" w:eastAsiaTheme="minorEastAsia"/>
                <w:lang w:val="en-US" w:eastAsia="zh-CN"/>
              </w:rPr>
              <w:t xml:space="preserve">             17.81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Theme="minorEastAsia"/>
                <w:lang w:val="en-US" w:eastAsia="zh-CN"/>
              </w:rPr>
            </w:pPr>
            <w:r>
              <w:rPr>
                <w:rFonts w:hint="eastAsia" w:eastAsiaTheme="minorEastAsia"/>
                <w:lang w:val="en-US" w:eastAsia="zh-CN"/>
              </w:rP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CellMar>
            <w:top w:w="0" w:type="dxa"/>
            <w:left w:w="108" w:type="dxa"/>
            <w:bottom w:w="0" w:type="dxa"/>
            <w:right w:w="108" w:type="dxa"/>
          </w:tblCellMar>
        </w:tblPrEx>
        <w:trPr>
          <w:trHeight w:val="282"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CellMar>
            <w:top w:w="0" w:type="dxa"/>
            <w:left w:w="108" w:type="dxa"/>
            <w:bottom w:w="0" w:type="dxa"/>
            <w:right w:w="108" w:type="dxa"/>
          </w:tblCellMar>
        </w:tblPrEx>
        <w:trPr>
          <w:trHeight w:val="234"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Theme="minorEastAsia"/>
                <w:lang w:val="en-US" w:eastAsia="zh-CN"/>
              </w:rPr>
            </w:pPr>
            <w:r>
              <w:rPr>
                <w:rFonts w:hint="eastAsia" w:eastAsiaTheme="minorEastAsia"/>
                <w:lang w:eastAsia="zh-CN"/>
              </w:rPr>
              <w:t>1</w:t>
            </w:r>
            <w:r>
              <w:rPr>
                <w:rFonts w:hint="eastAsia" w:eastAsiaTheme="minorEastAsia"/>
                <w:lang w:val="en-US" w:eastAsia="zh-CN"/>
              </w:rPr>
              <w:t>1.13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Theme="minorEastAsia"/>
                <w:lang w:val="en-US" w:eastAsia="zh-CN"/>
              </w:rPr>
            </w:pPr>
            <w:r>
              <w:rPr>
                <w:rFonts w:hint="eastAsia" w:eastAsiaTheme="minorEastAsia"/>
                <w:lang w:val="en-US" w:eastAsia="zh-CN"/>
              </w:rPr>
              <w:t>343.98</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343.98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343.98</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343.98</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lang w:val="en-US" w:eastAsia="zh-CN"/>
              </w:rPr>
            </w:pPr>
            <w:r>
              <w:rPr>
                <w:rFonts w:hint="eastAsia"/>
                <w:lang w:val="en-US" w:eastAsia="zh-CN"/>
              </w:rPr>
              <w:t>343.98</w:t>
            </w:r>
          </w:p>
        </w:tc>
        <w:tc>
          <w:tcPr>
            <w:tcW w:w="1134" w:type="dxa"/>
            <w:vAlign w:val="center"/>
          </w:tcPr>
          <w:p>
            <w:pPr>
              <w:pStyle w:val="20"/>
              <w:rPr>
                <w:rFonts w:hint="default"/>
                <w:lang w:val="en-US" w:eastAsia="zh-CN"/>
              </w:rPr>
            </w:pPr>
            <w:r>
              <w:rPr>
                <w:rFonts w:hint="eastAsia"/>
                <w:lang w:val="en-US" w:eastAsia="zh-CN"/>
              </w:rPr>
              <w:t>343.98</w:t>
            </w:r>
          </w:p>
        </w:tc>
        <w:tc>
          <w:tcPr>
            <w:tcW w:w="1134" w:type="dxa"/>
            <w:vAlign w:val="center"/>
          </w:tcPr>
          <w:p>
            <w:pPr>
              <w:pStyle w:val="20"/>
              <w:rPr>
                <w:rFonts w:hint="default"/>
                <w:lang w:val="en-US" w:eastAsia="zh-CN"/>
              </w:rPr>
            </w:pPr>
            <w:r>
              <w:rPr>
                <w:rFonts w:hint="eastAsia"/>
                <w:lang w:val="en-US" w:eastAsia="zh-CN"/>
              </w:rPr>
              <w:t>343.98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rPr>
                <w:rFonts w:hint="default"/>
                <w:lang w:val="en-US" w:eastAsia="zh-CN"/>
              </w:rPr>
            </w:pPr>
            <w:r>
              <w:rPr>
                <w:rFonts w:hint="eastAsia"/>
                <w:lang w:val="en-US" w:eastAsia="zh-CN"/>
              </w:rPr>
              <w:t>307.91</w:t>
            </w:r>
          </w:p>
        </w:tc>
        <w:tc>
          <w:tcPr>
            <w:tcW w:w="1134" w:type="dxa"/>
            <w:vAlign w:val="center"/>
          </w:tcPr>
          <w:p>
            <w:pPr>
              <w:pStyle w:val="16"/>
              <w:rPr>
                <w:rFonts w:hint="default"/>
                <w:lang w:val="en-US" w:eastAsia="zh-CN"/>
              </w:rPr>
            </w:pPr>
            <w:r>
              <w:rPr>
                <w:rFonts w:hint="eastAsia"/>
                <w:lang w:val="en-US" w:eastAsia="zh-CN"/>
              </w:rPr>
              <w:t>307.91</w:t>
            </w:r>
          </w:p>
        </w:tc>
        <w:tc>
          <w:tcPr>
            <w:tcW w:w="1134" w:type="dxa"/>
            <w:vAlign w:val="center"/>
          </w:tcPr>
          <w:p>
            <w:pPr>
              <w:pStyle w:val="16"/>
              <w:rPr>
                <w:lang w:eastAsia="zh-CN"/>
              </w:rPr>
            </w:pPr>
            <w:r>
              <w:rPr>
                <w:rFonts w:hint="eastAsia"/>
                <w:lang w:eastAsia="zh-CN"/>
              </w:rPr>
              <w:t>375.53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rPr>
                <w:lang w:eastAsia="zh-CN"/>
              </w:rPr>
            </w:pPr>
            <w:r>
              <w:t>2010</w:t>
            </w:r>
            <w:r>
              <w:rPr>
                <w:rFonts w:hint="eastAsia"/>
                <w:lang w:eastAsia="zh-CN"/>
              </w:rPr>
              <w:t>2</w:t>
            </w:r>
          </w:p>
        </w:tc>
        <w:tc>
          <w:tcPr>
            <w:tcW w:w="1559" w:type="dxa"/>
            <w:vAlign w:val="center"/>
          </w:tcPr>
          <w:p>
            <w:pPr>
              <w:pStyle w:val="17"/>
            </w:pPr>
            <w:r>
              <w:rPr>
                <w:rFonts w:hint="eastAsia"/>
                <w:lang w:eastAsia="zh-CN"/>
              </w:rPr>
              <w:t>政协</w:t>
            </w:r>
            <w:r>
              <w:t>事务</w:t>
            </w:r>
          </w:p>
        </w:tc>
        <w:tc>
          <w:tcPr>
            <w:tcW w:w="1134" w:type="dxa"/>
            <w:vAlign w:val="center"/>
          </w:tcPr>
          <w:p>
            <w:pPr>
              <w:pStyle w:val="16"/>
              <w:rPr>
                <w:rFonts w:hint="default"/>
                <w:lang w:val="en-US" w:eastAsia="zh-CN"/>
              </w:rPr>
            </w:pPr>
            <w:r>
              <w:rPr>
                <w:rFonts w:hint="eastAsia"/>
                <w:lang w:val="en-US" w:eastAsia="zh-CN"/>
              </w:rPr>
              <w:t>307.91</w:t>
            </w:r>
          </w:p>
        </w:tc>
        <w:tc>
          <w:tcPr>
            <w:tcW w:w="1134" w:type="dxa"/>
            <w:vAlign w:val="center"/>
          </w:tcPr>
          <w:p>
            <w:pPr>
              <w:pStyle w:val="16"/>
              <w:rPr>
                <w:rFonts w:hint="default"/>
                <w:lang w:val="en-US"/>
              </w:rPr>
            </w:pPr>
            <w:r>
              <w:rPr>
                <w:rFonts w:hint="eastAsia"/>
                <w:lang w:eastAsia="zh-CN"/>
              </w:rPr>
              <w:t>3</w:t>
            </w:r>
            <w:r>
              <w:rPr>
                <w:rFonts w:hint="eastAsia"/>
                <w:lang w:val="en-US" w:eastAsia="zh-CN"/>
              </w:rPr>
              <w:t>07.91</w:t>
            </w:r>
          </w:p>
        </w:tc>
        <w:tc>
          <w:tcPr>
            <w:tcW w:w="1134" w:type="dxa"/>
            <w:vAlign w:val="center"/>
          </w:tcPr>
          <w:p>
            <w:pPr>
              <w:pStyle w:val="16"/>
              <w:rPr>
                <w:rFonts w:hint="default"/>
                <w:lang w:val="en-US"/>
              </w:rPr>
            </w:pPr>
            <w:r>
              <w:rPr>
                <w:rFonts w:hint="eastAsia"/>
                <w:lang w:eastAsia="zh-CN"/>
              </w:rPr>
              <w:t>3</w:t>
            </w:r>
            <w:r>
              <w:rPr>
                <w:rFonts w:hint="eastAsia"/>
                <w:lang w:val="en-US" w:eastAsia="zh-CN"/>
              </w:rPr>
              <w:t>07.91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rPr>
                <w:lang w:eastAsia="zh-CN"/>
              </w:rPr>
            </w:pPr>
            <w:r>
              <w:t>2010</w:t>
            </w:r>
            <w:r>
              <w:rPr>
                <w:rFonts w:hint="eastAsia"/>
                <w:lang w:eastAsia="zh-CN"/>
              </w:rPr>
              <w:t>201</w:t>
            </w:r>
          </w:p>
        </w:tc>
        <w:tc>
          <w:tcPr>
            <w:tcW w:w="1559" w:type="dxa"/>
            <w:vAlign w:val="center"/>
          </w:tcPr>
          <w:p>
            <w:pPr>
              <w:pStyle w:val="17"/>
            </w:pPr>
            <w:r>
              <w:t>行政运行</w:t>
            </w:r>
          </w:p>
        </w:tc>
        <w:tc>
          <w:tcPr>
            <w:tcW w:w="1134" w:type="dxa"/>
            <w:vAlign w:val="center"/>
          </w:tcPr>
          <w:p>
            <w:pPr>
              <w:pStyle w:val="16"/>
              <w:rPr>
                <w:rFonts w:hint="default"/>
                <w:lang w:val="en-US" w:eastAsia="zh-CN"/>
              </w:rPr>
            </w:pPr>
            <w:r>
              <w:rPr>
                <w:rFonts w:hint="eastAsia"/>
                <w:lang w:eastAsia="zh-CN"/>
              </w:rPr>
              <w:t>2</w:t>
            </w:r>
            <w:r>
              <w:rPr>
                <w:rFonts w:hint="eastAsia"/>
                <w:lang w:val="en-US" w:eastAsia="zh-CN"/>
              </w:rPr>
              <w:t>07.41</w:t>
            </w:r>
          </w:p>
        </w:tc>
        <w:tc>
          <w:tcPr>
            <w:tcW w:w="1134" w:type="dxa"/>
            <w:vAlign w:val="center"/>
          </w:tcPr>
          <w:p>
            <w:pPr>
              <w:pStyle w:val="16"/>
              <w:rPr>
                <w:rFonts w:hint="default"/>
                <w:lang w:val="en-US"/>
              </w:rPr>
            </w:pPr>
            <w:r>
              <w:rPr>
                <w:rFonts w:hint="eastAsia"/>
                <w:lang w:eastAsia="zh-CN"/>
              </w:rPr>
              <w:t>2</w:t>
            </w:r>
            <w:r>
              <w:rPr>
                <w:rFonts w:hint="eastAsia"/>
                <w:lang w:val="en-US" w:eastAsia="zh-CN"/>
              </w:rPr>
              <w:t>07.41</w:t>
            </w:r>
          </w:p>
        </w:tc>
        <w:tc>
          <w:tcPr>
            <w:tcW w:w="1134" w:type="dxa"/>
            <w:vAlign w:val="center"/>
          </w:tcPr>
          <w:p>
            <w:pPr>
              <w:pStyle w:val="16"/>
              <w:rPr>
                <w:rFonts w:hint="default"/>
                <w:lang w:val="en-US"/>
              </w:rPr>
            </w:pPr>
            <w:r>
              <w:rPr>
                <w:rFonts w:hint="eastAsia"/>
                <w:lang w:eastAsia="zh-CN"/>
              </w:rPr>
              <w:t>2</w:t>
            </w:r>
            <w:r>
              <w:rPr>
                <w:rFonts w:hint="eastAsia"/>
                <w:lang w:val="en-US" w:eastAsia="zh-CN"/>
              </w:rPr>
              <w:t>07.41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2010</w:t>
            </w:r>
            <w:r>
              <w:rPr>
                <w:rFonts w:hint="eastAsia"/>
                <w:lang w:eastAsia="zh-CN"/>
              </w:rPr>
              <w:t>2</w:t>
            </w:r>
            <w:r>
              <w:t>02</w:t>
            </w:r>
          </w:p>
        </w:tc>
        <w:tc>
          <w:tcPr>
            <w:tcW w:w="1559" w:type="dxa"/>
            <w:vAlign w:val="center"/>
          </w:tcPr>
          <w:p>
            <w:pPr>
              <w:pStyle w:val="17"/>
            </w:pPr>
            <w:r>
              <w:t>一般行政管理事务</w:t>
            </w:r>
          </w:p>
        </w:tc>
        <w:tc>
          <w:tcPr>
            <w:tcW w:w="1134" w:type="dxa"/>
            <w:vAlign w:val="center"/>
          </w:tcPr>
          <w:p>
            <w:pPr>
              <w:pStyle w:val="16"/>
              <w:rPr>
                <w:lang w:eastAsia="zh-CN"/>
              </w:rPr>
            </w:pPr>
            <w:r>
              <w:rPr>
                <w:rFonts w:hint="eastAsia"/>
                <w:lang w:eastAsia="zh-CN"/>
              </w:rPr>
              <w:t>54.50</w:t>
            </w:r>
          </w:p>
        </w:tc>
        <w:tc>
          <w:tcPr>
            <w:tcW w:w="1134" w:type="dxa"/>
            <w:vAlign w:val="center"/>
          </w:tcPr>
          <w:p>
            <w:pPr>
              <w:pStyle w:val="16"/>
              <w:rPr>
                <w:lang w:eastAsia="zh-CN"/>
              </w:rPr>
            </w:pPr>
            <w:r>
              <w:rPr>
                <w:rFonts w:hint="eastAsia"/>
                <w:lang w:eastAsia="zh-CN"/>
              </w:rPr>
              <w:t>54.50</w:t>
            </w:r>
          </w:p>
        </w:tc>
        <w:tc>
          <w:tcPr>
            <w:tcW w:w="1134" w:type="dxa"/>
            <w:vAlign w:val="center"/>
          </w:tcPr>
          <w:p>
            <w:pPr>
              <w:pStyle w:val="16"/>
              <w:rPr>
                <w:lang w:eastAsia="zh-CN"/>
              </w:rPr>
            </w:pPr>
            <w:r>
              <w:rPr>
                <w:rFonts w:hint="eastAsia"/>
                <w:lang w:eastAsia="zh-CN"/>
              </w:rPr>
              <w:t>54.50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rPr>
                <w:lang w:eastAsia="zh-CN"/>
              </w:rPr>
            </w:pPr>
            <w:r>
              <w:t>2010</w:t>
            </w:r>
            <w:r>
              <w:rPr>
                <w:rFonts w:hint="eastAsia"/>
                <w:lang w:eastAsia="zh-CN"/>
              </w:rPr>
              <w:t>204</w:t>
            </w:r>
          </w:p>
        </w:tc>
        <w:tc>
          <w:tcPr>
            <w:tcW w:w="1559" w:type="dxa"/>
            <w:vAlign w:val="center"/>
          </w:tcPr>
          <w:p>
            <w:pPr>
              <w:pStyle w:val="17"/>
              <w:rPr>
                <w:lang w:eastAsia="zh-CN"/>
              </w:rPr>
            </w:pPr>
            <w:r>
              <w:rPr>
                <w:rFonts w:hint="eastAsia"/>
                <w:lang w:eastAsia="zh-CN"/>
              </w:rPr>
              <w:t>政协会议</w:t>
            </w:r>
          </w:p>
        </w:tc>
        <w:tc>
          <w:tcPr>
            <w:tcW w:w="1134" w:type="dxa"/>
            <w:vAlign w:val="center"/>
          </w:tcPr>
          <w:p>
            <w:pPr>
              <w:pStyle w:val="16"/>
              <w:rPr>
                <w:lang w:eastAsia="zh-CN"/>
              </w:rPr>
            </w:pPr>
            <w:r>
              <w:rPr>
                <w:rFonts w:hint="eastAsia"/>
                <w:lang w:eastAsia="zh-CN"/>
              </w:rPr>
              <w:t>30</w:t>
            </w:r>
          </w:p>
        </w:tc>
        <w:tc>
          <w:tcPr>
            <w:tcW w:w="1134" w:type="dxa"/>
            <w:vAlign w:val="center"/>
          </w:tcPr>
          <w:p>
            <w:pPr>
              <w:pStyle w:val="16"/>
              <w:rPr>
                <w:lang w:eastAsia="zh-CN"/>
              </w:rPr>
            </w:pPr>
            <w:r>
              <w:rPr>
                <w:rFonts w:hint="eastAsia"/>
                <w:lang w:eastAsia="zh-CN"/>
              </w:rPr>
              <w:t>30</w:t>
            </w:r>
          </w:p>
        </w:tc>
        <w:tc>
          <w:tcPr>
            <w:tcW w:w="1134" w:type="dxa"/>
            <w:vAlign w:val="center"/>
          </w:tcPr>
          <w:p>
            <w:pPr>
              <w:pStyle w:val="16"/>
              <w:rPr>
                <w:lang w:eastAsia="zh-CN"/>
              </w:rPr>
            </w:pPr>
            <w:r>
              <w:rPr>
                <w:rFonts w:hint="eastAsia"/>
                <w:lang w:eastAsia="zh-CN"/>
              </w:rPr>
              <w:t>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rPr>
                <w:lang w:eastAsia="zh-CN"/>
              </w:rPr>
            </w:pPr>
            <w:r>
              <w:t>2010</w:t>
            </w:r>
            <w:r>
              <w:rPr>
                <w:rFonts w:hint="eastAsia"/>
                <w:lang w:eastAsia="zh-CN"/>
              </w:rPr>
              <w:t>206</w:t>
            </w:r>
          </w:p>
        </w:tc>
        <w:tc>
          <w:tcPr>
            <w:tcW w:w="1559" w:type="dxa"/>
            <w:vAlign w:val="center"/>
          </w:tcPr>
          <w:p>
            <w:pPr>
              <w:pStyle w:val="17"/>
              <w:rPr>
                <w:lang w:eastAsia="zh-CN"/>
              </w:rPr>
            </w:pPr>
            <w:r>
              <w:rPr>
                <w:rFonts w:hint="eastAsia"/>
                <w:lang w:eastAsia="zh-CN"/>
              </w:rPr>
              <w:t>参政议政</w:t>
            </w:r>
          </w:p>
        </w:tc>
        <w:tc>
          <w:tcPr>
            <w:tcW w:w="1134" w:type="dxa"/>
            <w:vAlign w:val="center"/>
          </w:tcPr>
          <w:p>
            <w:pPr>
              <w:pStyle w:val="16"/>
              <w:rPr>
                <w:rFonts w:hint="default"/>
                <w:lang w:val="en-US" w:eastAsia="zh-CN"/>
              </w:rPr>
            </w:pPr>
            <w:r>
              <w:rPr>
                <w:rFonts w:hint="eastAsia"/>
                <w:lang w:val="en-US" w:eastAsia="zh-CN"/>
              </w:rPr>
              <w:t>16</w:t>
            </w:r>
          </w:p>
        </w:tc>
        <w:tc>
          <w:tcPr>
            <w:tcW w:w="1134" w:type="dxa"/>
            <w:vAlign w:val="center"/>
          </w:tcPr>
          <w:p>
            <w:pPr>
              <w:pStyle w:val="16"/>
              <w:rPr>
                <w:rFonts w:hint="default"/>
                <w:lang w:val="en-US" w:eastAsia="zh-CN"/>
              </w:rPr>
            </w:pPr>
            <w:r>
              <w:rPr>
                <w:rFonts w:hint="eastAsia"/>
                <w:lang w:val="en-US" w:eastAsia="zh-CN"/>
              </w:rPr>
              <w:t>16</w:t>
            </w:r>
          </w:p>
        </w:tc>
        <w:tc>
          <w:tcPr>
            <w:tcW w:w="1134" w:type="dxa"/>
            <w:vAlign w:val="center"/>
          </w:tcPr>
          <w:p>
            <w:pPr>
              <w:pStyle w:val="16"/>
              <w:rPr>
                <w:rFonts w:hint="default"/>
                <w:lang w:val="en-US" w:eastAsia="zh-CN"/>
              </w:rPr>
            </w:pPr>
            <w:r>
              <w:rPr>
                <w:rFonts w:hint="eastAsia"/>
                <w:lang w:val="en-US" w:eastAsia="zh-CN"/>
              </w:rPr>
              <w:t>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8</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rPr>
                <w:rFonts w:hint="default"/>
                <w:lang w:val="en-US" w:eastAsia="zh-CN"/>
              </w:rPr>
            </w:pPr>
            <w:r>
              <w:rPr>
                <w:rFonts w:hint="eastAsia"/>
                <w:lang w:val="en-US" w:eastAsia="zh-CN"/>
              </w:rPr>
              <w:t>17.81</w:t>
            </w:r>
          </w:p>
        </w:tc>
        <w:tc>
          <w:tcPr>
            <w:tcW w:w="1134" w:type="dxa"/>
            <w:vAlign w:val="center"/>
          </w:tcPr>
          <w:p>
            <w:pPr>
              <w:pStyle w:val="16"/>
              <w:rPr>
                <w:rFonts w:hint="default" w:eastAsia="方正书宋_GBK"/>
                <w:lang w:val="en-US" w:eastAsia="zh-CN"/>
              </w:rPr>
            </w:pPr>
            <w:r>
              <w:rPr>
                <w:rFonts w:hint="eastAsia"/>
                <w:lang w:val="en-US" w:eastAsia="zh-CN"/>
              </w:rPr>
              <w:t>17.81</w:t>
            </w:r>
          </w:p>
        </w:tc>
        <w:tc>
          <w:tcPr>
            <w:tcW w:w="1134" w:type="dxa"/>
            <w:vAlign w:val="center"/>
          </w:tcPr>
          <w:p>
            <w:pPr>
              <w:pStyle w:val="16"/>
              <w:rPr>
                <w:rFonts w:hint="default" w:eastAsia="方正书宋_GBK"/>
                <w:lang w:val="en-US" w:eastAsia="zh-CN"/>
              </w:rPr>
            </w:pPr>
            <w:r>
              <w:rPr>
                <w:rFonts w:hint="eastAsia"/>
                <w:lang w:val="en-US" w:eastAsia="zh-CN"/>
              </w:rPr>
              <w:t>17.81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9</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rPr>
                <w:rFonts w:hint="default"/>
                <w:lang w:val="en-US" w:eastAsia="zh-CN"/>
              </w:rPr>
            </w:pPr>
            <w:r>
              <w:rPr>
                <w:rFonts w:hint="eastAsia"/>
                <w:lang w:val="en-US" w:eastAsia="zh-CN"/>
              </w:rPr>
              <w:t>17.81</w:t>
            </w:r>
          </w:p>
        </w:tc>
        <w:tc>
          <w:tcPr>
            <w:tcW w:w="1134" w:type="dxa"/>
            <w:vAlign w:val="center"/>
          </w:tcPr>
          <w:p>
            <w:pPr>
              <w:pStyle w:val="16"/>
              <w:rPr>
                <w:rFonts w:hint="default" w:eastAsia="方正书宋_GBK"/>
                <w:lang w:val="en-US" w:eastAsia="zh-CN"/>
              </w:rPr>
            </w:pPr>
            <w:r>
              <w:rPr>
                <w:rFonts w:hint="eastAsia"/>
                <w:lang w:val="en-US" w:eastAsia="zh-CN"/>
              </w:rPr>
              <w:t>17.81</w:t>
            </w:r>
          </w:p>
        </w:tc>
        <w:tc>
          <w:tcPr>
            <w:tcW w:w="1134" w:type="dxa"/>
            <w:vAlign w:val="center"/>
          </w:tcPr>
          <w:p>
            <w:pPr>
              <w:pStyle w:val="16"/>
              <w:rPr>
                <w:rFonts w:hint="default" w:eastAsia="方正书宋_GBK"/>
                <w:lang w:val="en-US" w:eastAsia="zh-CN"/>
              </w:rPr>
            </w:pPr>
            <w:r>
              <w:rPr>
                <w:rFonts w:hint="eastAsia"/>
                <w:lang w:val="en-US" w:eastAsia="zh-CN"/>
              </w:rPr>
              <w:t>17.81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rPr>
                <w:rFonts w:hint="default"/>
                <w:lang w:val="en-US" w:eastAsia="zh-CN"/>
              </w:rPr>
            </w:pPr>
            <w:r>
              <w:rPr>
                <w:rFonts w:hint="eastAsia"/>
                <w:lang w:val="en-US" w:eastAsia="zh-CN"/>
              </w:rPr>
              <w:t>17.81</w:t>
            </w:r>
          </w:p>
        </w:tc>
        <w:tc>
          <w:tcPr>
            <w:tcW w:w="1134" w:type="dxa"/>
            <w:vAlign w:val="center"/>
          </w:tcPr>
          <w:p>
            <w:pPr>
              <w:pStyle w:val="16"/>
              <w:rPr>
                <w:rFonts w:hint="default" w:eastAsia="方正书宋_GBK"/>
                <w:lang w:val="en-US" w:eastAsia="zh-CN"/>
              </w:rPr>
            </w:pPr>
            <w:r>
              <w:rPr>
                <w:rFonts w:hint="eastAsia"/>
                <w:lang w:val="en-US" w:eastAsia="zh-CN"/>
              </w:rPr>
              <w:t>17.81</w:t>
            </w:r>
          </w:p>
        </w:tc>
        <w:tc>
          <w:tcPr>
            <w:tcW w:w="1134" w:type="dxa"/>
            <w:vAlign w:val="center"/>
          </w:tcPr>
          <w:p>
            <w:pPr>
              <w:pStyle w:val="16"/>
              <w:rPr>
                <w:rFonts w:hint="default" w:eastAsia="方正书宋_GBK"/>
                <w:lang w:val="en-US" w:eastAsia="zh-CN"/>
              </w:rPr>
            </w:pPr>
            <w:r>
              <w:rPr>
                <w:rFonts w:hint="eastAsia"/>
                <w:lang w:val="en-US" w:eastAsia="zh-CN"/>
              </w:rPr>
              <w:t>17.81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rPr>
                <w:rFonts w:hint="default"/>
                <w:lang w:val="en-US" w:eastAsia="zh-CN"/>
              </w:rPr>
            </w:pPr>
            <w:r>
              <w:rPr>
                <w:rFonts w:hint="eastAsia"/>
                <w:lang w:val="en-US" w:eastAsia="zh-CN"/>
              </w:rPr>
              <w:t>7.13</w:t>
            </w:r>
          </w:p>
        </w:tc>
        <w:tc>
          <w:tcPr>
            <w:tcW w:w="1134" w:type="dxa"/>
            <w:vAlign w:val="center"/>
          </w:tcPr>
          <w:p>
            <w:pPr>
              <w:pStyle w:val="16"/>
              <w:rPr>
                <w:rFonts w:hint="default" w:eastAsia="方正书宋_GBK"/>
                <w:lang w:val="en-US" w:eastAsia="zh-CN"/>
              </w:rPr>
            </w:pPr>
            <w:r>
              <w:rPr>
                <w:rFonts w:hint="eastAsia"/>
                <w:lang w:val="en-US" w:eastAsia="zh-CN"/>
              </w:rPr>
              <w:t>7.13</w:t>
            </w:r>
          </w:p>
        </w:tc>
        <w:tc>
          <w:tcPr>
            <w:tcW w:w="1134" w:type="dxa"/>
            <w:vAlign w:val="center"/>
          </w:tcPr>
          <w:p>
            <w:pPr>
              <w:pStyle w:val="16"/>
              <w:rPr>
                <w:rFonts w:hint="default" w:eastAsia="方正书宋_GBK"/>
                <w:lang w:val="en-US" w:eastAsia="zh-CN"/>
              </w:rPr>
            </w:pPr>
            <w:r>
              <w:rPr>
                <w:rFonts w:hint="eastAsia"/>
                <w:lang w:val="en-US" w:eastAsia="zh-CN"/>
              </w:rPr>
              <w:t>7.13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rPr>
                <w:rFonts w:hint="default"/>
                <w:lang w:val="en-US" w:eastAsia="zh-CN"/>
              </w:rPr>
            </w:pPr>
            <w:r>
              <w:rPr>
                <w:rFonts w:hint="eastAsia"/>
                <w:lang w:val="en-US" w:eastAsia="zh-CN"/>
              </w:rPr>
              <w:t>7.13</w:t>
            </w:r>
          </w:p>
        </w:tc>
        <w:tc>
          <w:tcPr>
            <w:tcW w:w="1134" w:type="dxa"/>
            <w:vAlign w:val="center"/>
          </w:tcPr>
          <w:p>
            <w:pPr>
              <w:pStyle w:val="16"/>
              <w:rPr>
                <w:rFonts w:hint="default" w:eastAsia="方正书宋_GBK"/>
                <w:lang w:val="en-US" w:eastAsia="zh-CN"/>
              </w:rPr>
            </w:pPr>
            <w:r>
              <w:rPr>
                <w:rFonts w:hint="eastAsia"/>
                <w:lang w:val="en-US" w:eastAsia="zh-CN"/>
              </w:rPr>
              <w:t>7.13</w:t>
            </w:r>
          </w:p>
        </w:tc>
        <w:tc>
          <w:tcPr>
            <w:tcW w:w="1134" w:type="dxa"/>
            <w:vAlign w:val="center"/>
          </w:tcPr>
          <w:p>
            <w:pPr>
              <w:pStyle w:val="16"/>
              <w:rPr>
                <w:rFonts w:hint="default" w:eastAsia="方正书宋_GBK"/>
                <w:lang w:val="en-US" w:eastAsia="zh-CN"/>
              </w:rPr>
            </w:pPr>
            <w:r>
              <w:rPr>
                <w:rFonts w:hint="eastAsia"/>
                <w:lang w:val="en-US" w:eastAsia="zh-CN"/>
              </w:rPr>
              <w:t>7.13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rPr>
                <w:rFonts w:hint="default"/>
                <w:lang w:val="en-US" w:eastAsia="zh-CN"/>
              </w:rPr>
            </w:pPr>
            <w:r>
              <w:rPr>
                <w:rFonts w:hint="eastAsia"/>
                <w:lang w:val="en-US" w:eastAsia="zh-CN"/>
              </w:rPr>
              <w:t>7.13</w:t>
            </w:r>
          </w:p>
        </w:tc>
        <w:tc>
          <w:tcPr>
            <w:tcW w:w="1134" w:type="dxa"/>
            <w:vAlign w:val="center"/>
          </w:tcPr>
          <w:p>
            <w:pPr>
              <w:pStyle w:val="16"/>
              <w:rPr>
                <w:rFonts w:hint="default" w:eastAsia="方正书宋_GBK"/>
                <w:lang w:val="en-US" w:eastAsia="zh-CN"/>
              </w:rPr>
            </w:pPr>
            <w:r>
              <w:rPr>
                <w:rFonts w:hint="eastAsia"/>
                <w:lang w:val="en-US" w:eastAsia="zh-CN"/>
              </w:rPr>
              <w:t>7.13</w:t>
            </w:r>
          </w:p>
        </w:tc>
        <w:tc>
          <w:tcPr>
            <w:tcW w:w="1134" w:type="dxa"/>
            <w:vAlign w:val="center"/>
          </w:tcPr>
          <w:p>
            <w:pPr>
              <w:pStyle w:val="16"/>
              <w:rPr>
                <w:rFonts w:hint="default" w:eastAsia="方正书宋_GBK"/>
                <w:lang w:val="en-US" w:eastAsia="zh-CN"/>
              </w:rPr>
            </w:pPr>
            <w:r>
              <w:rPr>
                <w:rFonts w:hint="eastAsia"/>
                <w:lang w:val="en-US" w:eastAsia="zh-CN"/>
              </w:rPr>
              <w:t>7.13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134" w:type="dxa"/>
            <w:vAlign w:val="center"/>
          </w:tcPr>
          <w:p>
            <w:pPr>
              <w:pStyle w:val="16"/>
              <w:rPr>
                <w:rFonts w:hint="default"/>
                <w:lang w:val="en-US"/>
              </w:rPr>
            </w:pPr>
            <w:r>
              <w:rPr>
                <w:rFonts w:hint="eastAsia"/>
                <w:lang w:eastAsia="zh-CN"/>
              </w:rPr>
              <w:t>1</w:t>
            </w:r>
            <w:r>
              <w:rPr>
                <w:rFonts w:hint="eastAsia"/>
                <w:lang w:val="en-US" w:eastAsia="zh-CN"/>
              </w:rPr>
              <w:t>1.13</w:t>
            </w:r>
          </w:p>
        </w:tc>
        <w:tc>
          <w:tcPr>
            <w:tcW w:w="1134" w:type="dxa"/>
            <w:vAlign w:val="center"/>
          </w:tcPr>
          <w:p>
            <w:pPr>
              <w:pStyle w:val="16"/>
              <w:rPr>
                <w:rFonts w:hint="default"/>
                <w:lang w:val="en-US"/>
              </w:rPr>
            </w:pPr>
            <w:r>
              <w:rPr>
                <w:rFonts w:hint="eastAsia"/>
                <w:lang w:eastAsia="zh-CN"/>
              </w:rPr>
              <w:t>1</w:t>
            </w:r>
            <w:r>
              <w:rPr>
                <w:rFonts w:hint="eastAsia"/>
                <w:lang w:val="en-US" w:eastAsia="zh-CN"/>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134" w:type="dxa"/>
            <w:vAlign w:val="center"/>
          </w:tcPr>
          <w:p>
            <w:pPr>
              <w:pStyle w:val="16"/>
              <w:rPr>
                <w:rFonts w:hint="default"/>
                <w:lang w:val="en-US"/>
              </w:rPr>
            </w:pPr>
            <w:r>
              <w:rPr>
                <w:rFonts w:hint="eastAsia"/>
                <w:lang w:eastAsia="zh-CN"/>
              </w:rPr>
              <w:t>1</w:t>
            </w:r>
            <w:r>
              <w:rPr>
                <w:rFonts w:hint="eastAsia"/>
                <w:lang w:val="en-US" w:eastAsia="zh-CN"/>
              </w:rPr>
              <w:t>1.13</w:t>
            </w:r>
          </w:p>
        </w:tc>
        <w:tc>
          <w:tcPr>
            <w:tcW w:w="1134" w:type="dxa"/>
            <w:vAlign w:val="center"/>
          </w:tcPr>
          <w:p>
            <w:pPr>
              <w:pStyle w:val="16"/>
              <w:rPr>
                <w:rFonts w:hint="default"/>
                <w:lang w:val="en-US"/>
              </w:rPr>
            </w:pPr>
            <w:r>
              <w:rPr>
                <w:rFonts w:hint="eastAsia"/>
                <w:lang w:eastAsia="zh-CN"/>
              </w:rPr>
              <w:t>1</w:t>
            </w:r>
            <w:r>
              <w:rPr>
                <w:rFonts w:hint="eastAsia"/>
                <w:lang w:val="en-US" w:eastAsia="zh-CN"/>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134" w:type="dxa"/>
            <w:vAlign w:val="center"/>
          </w:tcPr>
          <w:p>
            <w:pPr>
              <w:pStyle w:val="16"/>
              <w:rPr>
                <w:rFonts w:hint="default"/>
                <w:lang w:val="en-US"/>
              </w:rPr>
            </w:pPr>
            <w:r>
              <w:rPr>
                <w:rFonts w:hint="eastAsia"/>
                <w:lang w:eastAsia="zh-CN"/>
              </w:rPr>
              <w:t>1</w:t>
            </w:r>
            <w:r>
              <w:rPr>
                <w:rFonts w:hint="eastAsia"/>
                <w:lang w:val="en-US" w:eastAsia="zh-CN"/>
              </w:rPr>
              <w:t>1.13</w:t>
            </w:r>
          </w:p>
        </w:tc>
        <w:tc>
          <w:tcPr>
            <w:tcW w:w="1134" w:type="dxa"/>
            <w:vAlign w:val="center"/>
          </w:tcPr>
          <w:p>
            <w:pPr>
              <w:pStyle w:val="16"/>
              <w:rPr>
                <w:rFonts w:hint="default"/>
                <w:lang w:val="en-US"/>
              </w:rPr>
            </w:pPr>
            <w:r>
              <w:rPr>
                <w:rFonts w:hint="eastAsia"/>
                <w:lang w:eastAsia="zh-CN"/>
              </w:rPr>
              <w:t>1</w:t>
            </w:r>
            <w:r>
              <w:rPr>
                <w:rFonts w:hint="eastAsia"/>
                <w:lang w:val="en-US" w:eastAsia="zh-CN"/>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131001涞水县中国人民政治协商会议河北省涞水县委员会（本级）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lang w:val="en-US" w:eastAsia="zh-CN"/>
              </w:rPr>
            </w:pPr>
            <w:r>
              <w:rPr>
                <w:rFonts w:hint="eastAsia"/>
                <w:lang w:val="en-US" w:eastAsia="zh-CN"/>
              </w:rPr>
              <w:t>343.98</w:t>
            </w:r>
          </w:p>
        </w:tc>
        <w:tc>
          <w:tcPr>
            <w:tcW w:w="1361" w:type="dxa"/>
            <w:vAlign w:val="center"/>
          </w:tcPr>
          <w:p>
            <w:pPr>
              <w:pStyle w:val="20"/>
              <w:rPr>
                <w:rFonts w:hint="default"/>
                <w:lang w:val="en-US" w:eastAsia="zh-CN"/>
              </w:rPr>
            </w:pPr>
            <w:r>
              <w:rPr>
                <w:rFonts w:hint="eastAsia"/>
                <w:lang w:val="en-US" w:eastAsia="zh-CN"/>
              </w:rPr>
              <w:t>235.48</w:t>
            </w:r>
          </w:p>
        </w:tc>
        <w:tc>
          <w:tcPr>
            <w:tcW w:w="1361" w:type="dxa"/>
            <w:vAlign w:val="center"/>
          </w:tcPr>
          <w:p>
            <w:pPr>
              <w:pStyle w:val="20"/>
              <w:rPr>
                <w:lang w:eastAsia="zh-CN"/>
              </w:rPr>
            </w:pPr>
            <w:r>
              <w:rPr>
                <w:rFonts w:hint="eastAsia"/>
                <w:lang w:eastAsia="zh-CN"/>
              </w:rPr>
              <w:t>108.50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rPr>
                <w:rFonts w:hint="default"/>
                <w:lang w:val="en-US" w:eastAsia="zh-CN"/>
              </w:rPr>
            </w:pPr>
            <w:r>
              <w:rPr>
                <w:rFonts w:hint="eastAsia"/>
                <w:lang w:val="en-US" w:eastAsia="zh-CN"/>
              </w:rPr>
              <w:t>307.91</w:t>
            </w:r>
          </w:p>
        </w:tc>
        <w:tc>
          <w:tcPr>
            <w:tcW w:w="1361" w:type="dxa"/>
            <w:vAlign w:val="center"/>
          </w:tcPr>
          <w:p>
            <w:pPr>
              <w:pStyle w:val="16"/>
              <w:rPr>
                <w:rFonts w:hint="default"/>
                <w:lang w:val="en-US" w:eastAsia="zh-CN"/>
              </w:rPr>
            </w:pPr>
            <w:r>
              <w:rPr>
                <w:rFonts w:hint="eastAsia"/>
                <w:lang w:val="en-US" w:eastAsia="zh-CN"/>
              </w:rPr>
              <w:t>199.41</w:t>
            </w:r>
          </w:p>
        </w:tc>
        <w:tc>
          <w:tcPr>
            <w:tcW w:w="1361" w:type="dxa"/>
            <w:vAlign w:val="center"/>
          </w:tcPr>
          <w:p>
            <w:pPr>
              <w:pStyle w:val="16"/>
              <w:rPr>
                <w:lang w:eastAsia="zh-CN"/>
              </w:rPr>
            </w:pPr>
            <w:r>
              <w:rPr>
                <w:rFonts w:hint="eastAsia"/>
                <w:lang w:eastAsia="zh-CN"/>
              </w:rPr>
              <w:t>108.50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rPr>
                <w:lang w:eastAsia="zh-CN"/>
              </w:rPr>
            </w:pPr>
            <w:r>
              <w:t>2010</w:t>
            </w:r>
            <w:r>
              <w:rPr>
                <w:rFonts w:hint="eastAsia"/>
                <w:lang w:eastAsia="zh-CN"/>
              </w:rPr>
              <w:t>2</w:t>
            </w:r>
          </w:p>
        </w:tc>
        <w:tc>
          <w:tcPr>
            <w:tcW w:w="4536" w:type="dxa"/>
            <w:vAlign w:val="center"/>
          </w:tcPr>
          <w:p>
            <w:pPr>
              <w:pStyle w:val="17"/>
            </w:pPr>
            <w:r>
              <w:rPr>
                <w:rFonts w:hint="eastAsia"/>
                <w:lang w:eastAsia="zh-CN"/>
              </w:rPr>
              <w:t>政协</w:t>
            </w:r>
            <w:r>
              <w:t>事务</w:t>
            </w:r>
          </w:p>
        </w:tc>
        <w:tc>
          <w:tcPr>
            <w:tcW w:w="1361" w:type="dxa"/>
            <w:vAlign w:val="center"/>
          </w:tcPr>
          <w:p>
            <w:pPr>
              <w:pStyle w:val="16"/>
              <w:rPr>
                <w:rFonts w:hint="default"/>
                <w:lang w:val="en-US" w:eastAsia="zh-CN"/>
              </w:rPr>
            </w:pPr>
            <w:r>
              <w:rPr>
                <w:rFonts w:hint="eastAsia"/>
                <w:lang w:eastAsia="zh-CN"/>
              </w:rPr>
              <w:t>3</w:t>
            </w:r>
            <w:r>
              <w:rPr>
                <w:rFonts w:hint="eastAsia"/>
                <w:lang w:val="en-US" w:eastAsia="zh-CN"/>
              </w:rPr>
              <w:t>07.91</w:t>
            </w:r>
          </w:p>
        </w:tc>
        <w:tc>
          <w:tcPr>
            <w:tcW w:w="1361" w:type="dxa"/>
            <w:vAlign w:val="center"/>
          </w:tcPr>
          <w:p>
            <w:pPr>
              <w:pStyle w:val="16"/>
              <w:rPr>
                <w:rFonts w:hint="default"/>
                <w:lang w:val="en-US" w:eastAsia="zh-CN"/>
              </w:rPr>
            </w:pPr>
            <w:r>
              <w:rPr>
                <w:rFonts w:hint="eastAsia"/>
                <w:lang w:val="en-US" w:eastAsia="zh-CN"/>
              </w:rPr>
              <w:t>199.41</w:t>
            </w:r>
          </w:p>
        </w:tc>
        <w:tc>
          <w:tcPr>
            <w:tcW w:w="1361" w:type="dxa"/>
            <w:vAlign w:val="center"/>
          </w:tcPr>
          <w:p>
            <w:pPr>
              <w:pStyle w:val="16"/>
              <w:rPr>
                <w:lang w:eastAsia="zh-CN"/>
              </w:rPr>
            </w:pPr>
            <w:r>
              <w:rPr>
                <w:rFonts w:hint="eastAsia"/>
                <w:lang w:eastAsia="zh-CN"/>
              </w:rPr>
              <w:t>108.50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rPr>
                <w:lang w:eastAsia="zh-CN"/>
              </w:rPr>
            </w:pPr>
            <w:r>
              <w:t>2010</w:t>
            </w:r>
            <w:r>
              <w:rPr>
                <w:rFonts w:hint="eastAsia"/>
                <w:lang w:eastAsia="zh-CN"/>
              </w:rPr>
              <w:t>201</w:t>
            </w:r>
          </w:p>
        </w:tc>
        <w:tc>
          <w:tcPr>
            <w:tcW w:w="4536" w:type="dxa"/>
            <w:vAlign w:val="center"/>
          </w:tcPr>
          <w:p>
            <w:pPr>
              <w:pStyle w:val="17"/>
            </w:pPr>
            <w:r>
              <w:t>行政运行</w:t>
            </w:r>
          </w:p>
        </w:tc>
        <w:tc>
          <w:tcPr>
            <w:tcW w:w="1361" w:type="dxa"/>
            <w:vAlign w:val="center"/>
          </w:tcPr>
          <w:p>
            <w:pPr>
              <w:pStyle w:val="16"/>
              <w:rPr>
                <w:rFonts w:hint="default"/>
                <w:lang w:val="en-US" w:eastAsia="zh-CN"/>
              </w:rPr>
            </w:pPr>
            <w:r>
              <w:rPr>
                <w:rFonts w:hint="eastAsia"/>
                <w:lang w:val="en-US" w:eastAsia="zh-CN"/>
              </w:rPr>
              <w:t>207.41</w:t>
            </w:r>
          </w:p>
        </w:tc>
        <w:tc>
          <w:tcPr>
            <w:tcW w:w="1361" w:type="dxa"/>
            <w:vAlign w:val="center"/>
          </w:tcPr>
          <w:p>
            <w:pPr>
              <w:pStyle w:val="16"/>
              <w:rPr>
                <w:rFonts w:hint="default"/>
                <w:lang w:val="en-US" w:eastAsia="zh-CN"/>
              </w:rPr>
            </w:pPr>
            <w:r>
              <w:rPr>
                <w:rFonts w:hint="eastAsia"/>
                <w:lang w:val="en-US" w:eastAsia="zh-CN"/>
              </w:rPr>
              <w:t>199.41</w:t>
            </w:r>
          </w:p>
        </w:tc>
        <w:tc>
          <w:tcPr>
            <w:tcW w:w="1361" w:type="dxa"/>
            <w:vAlign w:val="center"/>
          </w:tcPr>
          <w:p>
            <w:pPr>
              <w:pStyle w:val="16"/>
              <w:rPr>
                <w:rFonts w:hint="eastAsia" w:eastAsia="方正书宋_GBK"/>
                <w:lang w:val="en-US" w:eastAsia="zh-CN"/>
              </w:rPr>
            </w:pPr>
            <w:r>
              <w:rPr>
                <w:rFonts w:hint="eastAsia"/>
                <w:lang w:val="en-US" w:eastAsia="zh-CN"/>
              </w:rPr>
              <w:t>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2010</w:t>
            </w:r>
            <w:r>
              <w:rPr>
                <w:rFonts w:hint="eastAsia"/>
                <w:lang w:eastAsia="zh-CN"/>
              </w:rPr>
              <w:t>2</w:t>
            </w:r>
            <w:r>
              <w:t>02</w:t>
            </w:r>
          </w:p>
        </w:tc>
        <w:tc>
          <w:tcPr>
            <w:tcW w:w="4536" w:type="dxa"/>
            <w:vAlign w:val="center"/>
          </w:tcPr>
          <w:p>
            <w:pPr>
              <w:pStyle w:val="17"/>
            </w:pPr>
            <w:r>
              <w:t>一般行政管理事务</w:t>
            </w:r>
          </w:p>
        </w:tc>
        <w:tc>
          <w:tcPr>
            <w:tcW w:w="1361" w:type="dxa"/>
            <w:vAlign w:val="center"/>
          </w:tcPr>
          <w:p>
            <w:pPr>
              <w:pStyle w:val="16"/>
              <w:rPr>
                <w:lang w:eastAsia="zh-CN"/>
              </w:rPr>
            </w:pPr>
            <w:r>
              <w:rPr>
                <w:rFonts w:hint="eastAsia"/>
                <w:lang w:eastAsia="zh-CN"/>
              </w:rPr>
              <w:t>54.50</w:t>
            </w:r>
          </w:p>
        </w:tc>
        <w:tc>
          <w:tcPr>
            <w:tcW w:w="1361" w:type="dxa"/>
            <w:vAlign w:val="center"/>
          </w:tcPr>
          <w:p>
            <w:pPr>
              <w:pStyle w:val="16"/>
            </w:pPr>
          </w:p>
        </w:tc>
        <w:tc>
          <w:tcPr>
            <w:tcW w:w="1361" w:type="dxa"/>
            <w:vAlign w:val="center"/>
          </w:tcPr>
          <w:p>
            <w:pPr>
              <w:pStyle w:val="16"/>
              <w:rPr>
                <w:lang w:eastAsia="zh-CN"/>
              </w:rPr>
            </w:pPr>
            <w:r>
              <w:rPr>
                <w:rFonts w:hint="eastAsia"/>
                <w:lang w:eastAsia="zh-CN"/>
              </w:rPr>
              <w:t>54.50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lang w:eastAsia="zh-CN"/>
              </w:rPr>
            </w:pPr>
            <w:r>
              <w:t>2010</w:t>
            </w:r>
            <w:r>
              <w:rPr>
                <w:rFonts w:hint="eastAsia"/>
                <w:lang w:eastAsia="zh-CN"/>
              </w:rPr>
              <w:t>204</w:t>
            </w:r>
          </w:p>
        </w:tc>
        <w:tc>
          <w:tcPr>
            <w:tcW w:w="4536" w:type="dxa"/>
            <w:vAlign w:val="center"/>
          </w:tcPr>
          <w:p>
            <w:pPr>
              <w:pStyle w:val="17"/>
              <w:rPr>
                <w:lang w:eastAsia="zh-CN"/>
              </w:rPr>
            </w:pPr>
            <w:r>
              <w:rPr>
                <w:rFonts w:hint="eastAsia"/>
                <w:lang w:eastAsia="zh-CN"/>
              </w:rPr>
              <w:t>政协会议</w:t>
            </w:r>
          </w:p>
        </w:tc>
        <w:tc>
          <w:tcPr>
            <w:tcW w:w="1361" w:type="dxa"/>
            <w:vAlign w:val="center"/>
          </w:tcPr>
          <w:p>
            <w:pPr>
              <w:pStyle w:val="16"/>
              <w:rPr>
                <w:lang w:eastAsia="zh-CN"/>
              </w:rPr>
            </w:pPr>
            <w:r>
              <w:rPr>
                <w:rFonts w:hint="eastAsia"/>
                <w:lang w:eastAsia="zh-CN"/>
              </w:rPr>
              <w:t>30</w:t>
            </w:r>
          </w:p>
        </w:tc>
        <w:tc>
          <w:tcPr>
            <w:tcW w:w="1361" w:type="dxa"/>
            <w:vAlign w:val="center"/>
          </w:tcPr>
          <w:p>
            <w:pPr>
              <w:pStyle w:val="16"/>
            </w:pPr>
          </w:p>
        </w:tc>
        <w:tc>
          <w:tcPr>
            <w:tcW w:w="1361" w:type="dxa"/>
            <w:vAlign w:val="center"/>
          </w:tcPr>
          <w:p>
            <w:pPr>
              <w:pStyle w:val="16"/>
              <w:rPr>
                <w:lang w:eastAsia="zh-CN"/>
              </w:rPr>
            </w:pPr>
            <w:r>
              <w:rPr>
                <w:rFonts w:hint="eastAsia"/>
                <w:lang w:eastAsia="zh-CN"/>
              </w:rPr>
              <w:t>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lang w:eastAsia="zh-CN"/>
              </w:rPr>
            </w:pPr>
            <w:r>
              <w:t>2010</w:t>
            </w:r>
            <w:r>
              <w:rPr>
                <w:rFonts w:hint="eastAsia"/>
                <w:lang w:eastAsia="zh-CN"/>
              </w:rPr>
              <w:t>206</w:t>
            </w:r>
          </w:p>
        </w:tc>
        <w:tc>
          <w:tcPr>
            <w:tcW w:w="4536" w:type="dxa"/>
            <w:vAlign w:val="center"/>
          </w:tcPr>
          <w:p>
            <w:pPr>
              <w:pStyle w:val="17"/>
              <w:rPr>
                <w:lang w:eastAsia="zh-CN"/>
              </w:rPr>
            </w:pPr>
            <w:r>
              <w:rPr>
                <w:rFonts w:hint="eastAsia"/>
                <w:lang w:eastAsia="zh-CN"/>
              </w:rPr>
              <w:t>参政议政</w:t>
            </w:r>
          </w:p>
        </w:tc>
        <w:tc>
          <w:tcPr>
            <w:tcW w:w="1361" w:type="dxa"/>
            <w:vAlign w:val="center"/>
          </w:tcPr>
          <w:p>
            <w:pPr>
              <w:pStyle w:val="16"/>
              <w:rPr>
                <w:rFonts w:hint="default"/>
                <w:lang w:val="en-US" w:eastAsia="zh-CN"/>
              </w:rPr>
            </w:pPr>
            <w:r>
              <w:rPr>
                <w:rFonts w:hint="eastAsia"/>
                <w:lang w:val="en-US" w:eastAsia="zh-CN"/>
              </w:rPr>
              <w:t>16</w:t>
            </w:r>
          </w:p>
        </w:tc>
        <w:tc>
          <w:tcPr>
            <w:tcW w:w="1361" w:type="dxa"/>
            <w:vAlign w:val="center"/>
          </w:tcPr>
          <w:p>
            <w:pPr>
              <w:pStyle w:val="16"/>
            </w:pPr>
          </w:p>
        </w:tc>
        <w:tc>
          <w:tcPr>
            <w:tcW w:w="1361" w:type="dxa"/>
            <w:vAlign w:val="center"/>
          </w:tcPr>
          <w:p>
            <w:pPr>
              <w:pStyle w:val="16"/>
              <w:rPr>
                <w:rFonts w:hint="default"/>
                <w:lang w:val="en-US" w:eastAsia="zh-CN"/>
              </w:rPr>
            </w:pPr>
            <w:r>
              <w:rPr>
                <w:rFonts w:hint="eastAsia"/>
                <w:lang w:val="en-US" w:eastAsia="zh-CN"/>
              </w:rPr>
              <w:t>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rPr>
                <w:rFonts w:hint="default"/>
                <w:lang w:val="en-US" w:eastAsia="zh-CN"/>
              </w:rPr>
            </w:pPr>
            <w:r>
              <w:rPr>
                <w:rFonts w:hint="eastAsia"/>
                <w:lang w:val="en-US" w:eastAsia="zh-CN"/>
              </w:rPr>
              <w:t>17.81</w:t>
            </w:r>
          </w:p>
        </w:tc>
        <w:tc>
          <w:tcPr>
            <w:tcW w:w="1361" w:type="dxa"/>
            <w:vAlign w:val="center"/>
          </w:tcPr>
          <w:p>
            <w:pPr>
              <w:pStyle w:val="16"/>
              <w:rPr>
                <w:rFonts w:hint="default"/>
                <w:lang w:val="en-US" w:eastAsia="zh-CN"/>
              </w:rPr>
            </w:pPr>
            <w:r>
              <w:rPr>
                <w:rFonts w:hint="eastAsia"/>
                <w:lang w:val="en-US" w:eastAsia="zh-CN"/>
              </w:rPr>
              <w:t>17.81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rPr>
                <w:rFonts w:hint="default"/>
                <w:lang w:val="en-US" w:eastAsia="zh-CN"/>
              </w:rPr>
            </w:pPr>
            <w:r>
              <w:rPr>
                <w:rFonts w:hint="eastAsia"/>
                <w:lang w:val="en-US" w:eastAsia="zh-CN"/>
              </w:rPr>
              <w:t>17.81</w:t>
            </w:r>
          </w:p>
        </w:tc>
        <w:tc>
          <w:tcPr>
            <w:tcW w:w="1361" w:type="dxa"/>
            <w:vAlign w:val="center"/>
          </w:tcPr>
          <w:p>
            <w:pPr>
              <w:pStyle w:val="16"/>
              <w:rPr>
                <w:rFonts w:hint="default"/>
                <w:lang w:val="en-US" w:eastAsia="zh-CN"/>
              </w:rPr>
            </w:pPr>
            <w:r>
              <w:rPr>
                <w:rFonts w:hint="eastAsia"/>
                <w:lang w:val="en-US" w:eastAsia="zh-CN"/>
              </w:rPr>
              <w:t>17.81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rPr>
                <w:rFonts w:hint="default"/>
                <w:lang w:val="en-US" w:eastAsia="zh-CN"/>
              </w:rPr>
            </w:pPr>
            <w:r>
              <w:rPr>
                <w:rFonts w:hint="eastAsia"/>
                <w:lang w:val="en-US" w:eastAsia="zh-CN"/>
              </w:rPr>
              <w:t>17.81</w:t>
            </w:r>
          </w:p>
        </w:tc>
        <w:tc>
          <w:tcPr>
            <w:tcW w:w="1361" w:type="dxa"/>
            <w:vAlign w:val="center"/>
          </w:tcPr>
          <w:p>
            <w:pPr>
              <w:pStyle w:val="16"/>
              <w:rPr>
                <w:rFonts w:hint="default"/>
                <w:lang w:val="en-US" w:eastAsia="zh-CN"/>
              </w:rPr>
            </w:pPr>
            <w:r>
              <w:rPr>
                <w:rFonts w:hint="eastAsia"/>
                <w:lang w:val="en-US" w:eastAsia="zh-CN"/>
              </w:rPr>
              <w:t>17.81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rPr>
                <w:rFonts w:hint="default"/>
                <w:lang w:val="en-US" w:eastAsia="zh-CN"/>
              </w:rPr>
            </w:pPr>
            <w:r>
              <w:rPr>
                <w:rFonts w:hint="eastAsia"/>
                <w:lang w:val="en-US" w:eastAsia="zh-CN"/>
              </w:rPr>
              <w:t>7.13</w:t>
            </w:r>
          </w:p>
        </w:tc>
        <w:tc>
          <w:tcPr>
            <w:tcW w:w="1361" w:type="dxa"/>
            <w:vAlign w:val="center"/>
          </w:tcPr>
          <w:p>
            <w:pPr>
              <w:pStyle w:val="16"/>
              <w:rPr>
                <w:rFonts w:hint="default"/>
                <w:lang w:val="en-US" w:eastAsia="zh-CN"/>
              </w:rPr>
            </w:pPr>
            <w:r>
              <w:rPr>
                <w:rFonts w:hint="eastAsia"/>
                <w:lang w:val="en-US" w:eastAsia="zh-CN"/>
              </w:rPr>
              <w:t>7.13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rPr>
                <w:rFonts w:hint="default"/>
                <w:lang w:val="en-US" w:eastAsia="zh-CN"/>
              </w:rPr>
            </w:pPr>
            <w:r>
              <w:rPr>
                <w:rFonts w:hint="eastAsia"/>
                <w:lang w:val="en-US" w:eastAsia="zh-CN"/>
              </w:rPr>
              <w:t>7.13</w:t>
            </w:r>
          </w:p>
        </w:tc>
        <w:tc>
          <w:tcPr>
            <w:tcW w:w="1361" w:type="dxa"/>
            <w:vAlign w:val="center"/>
          </w:tcPr>
          <w:p>
            <w:pPr>
              <w:pStyle w:val="16"/>
              <w:rPr>
                <w:rFonts w:hint="default"/>
                <w:lang w:val="en-US" w:eastAsia="zh-CN"/>
              </w:rPr>
            </w:pPr>
            <w:r>
              <w:rPr>
                <w:rFonts w:hint="eastAsia"/>
                <w:lang w:val="en-US" w:eastAsia="zh-CN"/>
              </w:rPr>
              <w:t>7.13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rPr>
                <w:rFonts w:hint="default"/>
                <w:lang w:val="en-US" w:eastAsia="zh-CN"/>
              </w:rPr>
            </w:pPr>
            <w:r>
              <w:rPr>
                <w:rFonts w:hint="eastAsia"/>
                <w:lang w:val="en-US" w:eastAsia="zh-CN"/>
              </w:rPr>
              <w:t>7.13</w:t>
            </w:r>
          </w:p>
        </w:tc>
        <w:tc>
          <w:tcPr>
            <w:tcW w:w="1361" w:type="dxa"/>
            <w:vAlign w:val="center"/>
          </w:tcPr>
          <w:p>
            <w:pPr>
              <w:pStyle w:val="16"/>
              <w:rPr>
                <w:rFonts w:hint="default"/>
                <w:lang w:val="en-US" w:eastAsia="zh-CN"/>
              </w:rPr>
            </w:pPr>
            <w:r>
              <w:rPr>
                <w:rFonts w:hint="eastAsia"/>
                <w:lang w:val="en-US" w:eastAsia="zh-CN"/>
              </w:rPr>
              <w:t>7.13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rPr>
                <w:rFonts w:hint="default"/>
                <w:lang w:val="en-US" w:eastAsia="zh-CN"/>
              </w:rPr>
            </w:pPr>
            <w:r>
              <w:rPr>
                <w:rFonts w:hint="eastAsia"/>
                <w:lang w:val="en-US" w:eastAsia="zh-CN"/>
              </w:rPr>
              <w:t>11.13</w:t>
            </w:r>
          </w:p>
        </w:tc>
        <w:tc>
          <w:tcPr>
            <w:tcW w:w="136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15</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36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16</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36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jc w:val="center"/>
        <w:outlineLvl w:val="1"/>
      </w:pPr>
      <w:bookmarkStart w:id="1"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1"/>
    </w:p>
    <w:tbl>
      <w:tblPr>
        <w:tblStyle w:val="8"/>
        <w:tblW w:w="152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733"/>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eastAsia="zh-CN"/>
              </w:rPr>
              <w:t xml:space="preserve">               </w:t>
            </w: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135"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733"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733"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733" w:type="dxa"/>
            <w:vAlign w:val="center"/>
          </w:tcPr>
          <w:p>
            <w:pPr>
              <w:pStyle w:val="16"/>
              <w:rPr>
                <w:rFonts w:hint="default"/>
                <w:lang w:val="en-US" w:eastAsia="zh-CN"/>
              </w:rPr>
            </w:pPr>
            <w:r>
              <w:rPr>
                <w:rFonts w:hint="eastAsia"/>
                <w:lang w:val="en-US" w:eastAsia="zh-CN"/>
              </w:rPr>
              <w:t>343.98</w:t>
            </w:r>
          </w:p>
        </w:tc>
        <w:tc>
          <w:tcPr>
            <w:tcW w:w="3402" w:type="dxa"/>
            <w:vAlign w:val="center"/>
          </w:tcPr>
          <w:p>
            <w:pPr>
              <w:pStyle w:val="17"/>
            </w:pPr>
            <w:r>
              <w:t>一、一般公共服务支出</w:t>
            </w:r>
          </w:p>
        </w:tc>
        <w:tc>
          <w:tcPr>
            <w:tcW w:w="1474" w:type="dxa"/>
            <w:vAlign w:val="center"/>
          </w:tcPr>
          <w:p>
            <w:pPr>
              <w:pStyle w:val="16"/>
              <w:rPr>
                <w:rFonts w:hint="default"/>
                <w:lang w:val="en-US" w:eastAsia="zh-CN"/>
              </w:rPr>
            </w:pPr>
            <w:r>
              <w:rPr>
                <w:rFonts w:hint="eastAsia"/>
                <w:lang w:eastAsia="zh-CN"/>
              </w:rPr>
              <w:t>3</w:t>
            </w:r>
            <w:r>
              <w:rPr>
                <w:rFonts w:hint="eastAsia"/>
                <w:lang w:val="en-US" w:eastAsia="zh-CN"/>
              </w:rPr>
              <w:t>07.91</w:t>
            </w:r>
          </w:p>
        </w:tc>
        <w:tc>
          <w:tcPr>
            <w:tcW w:w="1474" w:type="dxa"/>
            <w:vAlign w:val="center"/>
          </w:tcPr>
          <w:p>
            <w:pPr>
              <w:pStyle w:val="16"/>
              <w:rPr>
                <w:rFonts w:hint="default"/>
                <w:lang w:val="en-US" w:eastAsia="zh-CN"/>
              </w:rPr>
            </w:pPr>
            <w:r>
              <w:rPr>
                <w:rFonts w:hint="eastAsia"/>
                <w:lang w:eastAsia="zh-CN"/>
              </w:rPr>
              <w:t>3</w:t>
            </w:r>
            <w:r>
              <w:rPr>
                <w:rFonts w:hint="eastAsia"/>
                <w:lang w:val="en-US" w:eastAsia="zh-CN"/>
              </w:rPr>
              <w:t>07.91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733"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733"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lang w:val="en-US" w:eastAsia="zh-CN"/>
              </w:rPr>
            </w:pPr>
            <w:r>
              <w:rPr>
                <w:rFonts w:hint="eastAsia"/>
                <w:lang w:val="en-US" w:eastAsia="zh-CN"/>
              </w:rPr>
              <w:t>17.81</w:t>
            </w:r>
          </w:p>
        </w:tc>
        <w:tc>
          <w:tcPr>
            <w:tcW w:w="1474" w:type="dxa"/>
            <w:vAlign w:val="center"/>
          </w:tcPr>
          <w:p>
            <w:pPr>
              <w:pStyle w:val="16"/>
              <w:rPr>
                <w:rFonts w:hint="default"/>
                <w:lang w:val="en-US" w:eastAsia="zh-CN"/>
              </w:rPr>
            </w:pPr>
            <w:r>
              <w:rPr>
                <w:rFonts w:hint="eastAsia"/>
                <w:lang w:val="en-US" w:eastAsia="zh-CN"/>
              </w:rPr>
              <w:t>17.81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lang w:val="en-US" w:eastAsia="zh-CN"/>
              </w:rPr>
            </w:pPr>
            <w:r>
              <w:rPr>
                <w:rFonts w:hint="eastAsia"/>
                <w:lang w:val="en-US" w:eastAsia="zh-CN"/>
              </w:rPr>
              <w:t>7.13</w:t>
            </w:r>
          </w:p>
        </w:tc>
        <w:tc>
          <w:tcPr>
            <w:tcW w:w="1474" w:type="dxa"/>
            <w:vAlign w:val="center"/>
          </w:tcPr>
          <w:p>
            <w:pPr>
              <w:pStyle w:val="16"/>
              <w:rPr>
                <w:rFonts w:hint="default"/>
                <w:lang w:val="en-US" w:eastAsia="zh-CN"/>
              </w:rPr>
            </w:pPr>
            <w:r>
              <w:rPr>
                <w:rFonts w:hint="eastAsia"/>
                <w:lang w:val="en-US" w:eastAsia="zh-CN"/>
              </w:rPr>
              <w:t>7.13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8" w:hRule="atLeast"/>
          <w:jc w:val="center"/>
        </w:trPr>
        <w:tc>
          <w:tcPr>
            <w:tcW w:w="850" w:type="dxa"/>
            <w:vAlign w:val="center"/>
          </w:tcPr>
          <w:p>
            <w:pPr>
              <w:pStyle w:val="18"/>
            </w:pPr>
            <w:r>
              <w:t>17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pPr>
            <w:r>
              <w:t>19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198" w:hRule="atLeast"/>
          <w:jc w:val="center"/>
        </w:trPr>
        <w:tc>
          <w:tcPr>
            <w:tcW w:w="850" w:type="dxa"/>
            <w:vAlign w:val="center"/>
          </w:tcPr>
          <w:p>
            <w:pPr>
              <w:pStyle w:val="18"/>
            </w:pPr>
            <w:r>
              <w:t>20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lang w:val="en-US" w:eastAsia="zh-CN"/>
              </w:rPr>
            </w:pPr>
            <w:r>
              <w:rPr>
                <w:rFonts w:hint="eastAsia"/>
                <w:lang w:val="en-US" w:eastAsia="zh-CN"/>
              </w:rPr>
              <w:t>11.13</w:t>
            </w:r>
          </w:p>
        </w:tc>
        <w:tc>
          <w:tcPr>
            <w:tcW w:w="1474"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50" w:type="dxa"/>
            <w:vAlign w:val="center"/>
          </w:tcPr>
          <w:p>
            <w:pPr>
              <w:pStyle w:val="18"/>
            </w:pPr>
            <w:r>
              <w:t>22</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 w:hRule="atLeast"/>
          <w:jc w:val="center"/>
        </w:trPr>
        <w:tc>
          <w:tcPr>
            <w:tcW w:w="850" w:type="dxa"/>
            <w:vAlign w:val="center"/>
          </w:tcPr>
          <w:p>
            <w:pPr>
              <w:pStyle w:val="18"/>
            </w:pPr>
            <w:r>
              <w:t>23</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234" w:hRule="atLeast"/>
          <w:jc w:val="center"/>
        </w:trPr>
        <w:tc>
          <w:tcPr>
            <w:tcW w:w="850" w:type="dxa"/>
            <w:vAlign w:val="center"/>
          </w:tcPr>
          <w:p>
            <w:pPr>
              <w:pStyle w:val="18"/>
            </w:pPr>
            <w:r>
              <w:t>24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50" w:type="dxa"/>
            <w:vAlign w:val="center"/>
          </w:tcPr>
          <w:p>
            <w:pPr>
              <w:pStyle w:val="18"/>
            </w:pPr>
            <w:r>
              <w:t>26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850" w:type="dxa"/>
            <w:vAlign w:val="center"/>
          </w:tcPr>
          <w:p>
            <w:pPr>
              <w:pStyle w:val="18"/>
            </w:pPr>
            <w:r>
              <w:t>30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733" w:type="dxa"/>
            <w:vAlign w:val="center"/>
          </w:tcPr>
          <w:p>
            <w:pPr>
              <w:pStyle w:val="20"/>
              <w:rPr>
                <w:rFonts w:hint="default"/>
                <w:lang w:val="en-US" w:eastAsia="zh-CN"/>
              </w:rPr>
            </w:pPr>
            <w:r>
              <w:rPr>
                <w:rFonts w:hint="eastAsia"/>
                <w:lang w:val="en-US" w:eastAsia="zh-CN"/>
              </w:rPr>
              <w:t>343.98</w:t>
            </w:r>
          </w:p>
        </w:tc>
        <w:tc>
          <w:tcPr>
            <w:tcW w:w="3402" w:type="dxa"/>
            <w:vAlign w:val="center"/>
          </w:tcPr>
          <w:p>
            <w:pPr>
              <w:pStyle w:val="19"/>
            </w:pPr>
            <w:r>
              <w:t>本年支出合计</w:t>
            </w:r>
          </w:p>
        </w:tc>
        <w:tc>
          <w:tcPr>
            <w:tcW w:w="1474" w:type="dxa"/>
            <w:vAlign w:val="center"/>
          </w:tcPr>
          <w:p>
            <w:pPr>
              <w:pStyle w:val="20"/>
              <w:rPr>
                <w:rFonts w:hint="default"/>
                <w:lang w:val="en-US" w:eastAsia="zh-CN"/>
              </w:rPr>
            </w:pPr>
            <w:r>
              <w:rPr>
                <w:rFonts w:hint="eastAsia"/>
                <w:lang w:val="en-US" w:eastAsia="zh-CN"/>
              </w:rPr>
              <w:t>343.98</w:t>
            </w:r>
          </w:p>
        </w:tc>
        <w:tc>
          <w:tcPr>
            <w:tcW w:w="1474" w:type="dxa"/>
            <w:vAlign w:val="center"/>
          </w:tcPr>
          <w:p>
            <w:pPr>
              <w:pStyle w:val="20"/>
              <w:rPr>
                <w:rFonts w:hint="default"/>
                <w:lang w:val="en-US" w:eastAsia="zh-CN"/>
              </w:rPr>
            </w:pPr>
            <w:r>
              <w:rPr>
                <w:rFonts w:hint="eastAsia"/>
                <w:lang w:val="en-US" w:eastAsia="zh-CN"/>
              </w:rPr>
              <w:t>343.98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733"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733"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733"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733"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733" w:type="dxa"/>
            <w:vAlign w:val="center"/>
          </w:tcPr>
          <w:p>
            <w:pPr>
              <w:pStyle w:val="20"/>
              <w:rPr>
                <w:rFonts w:hint="default"/>
                <w:lang w:val="en-US" w:eastAsia="zh-CN"/>
              </w:rPr>
            </w:pPr>
            <w:r>
              <w:rPr>
                <w:rFonts w:hint="eastAsia"/>
                <w:lang w:val="en-US" w:eastAsia="zh-CN"/>
              </w:rPr>
              <w:t>343.98</w:t>
            </w:r>
          </w:p>
        </w:tc>
        <w:tc>
          <w:tcPr>
            <w:tcW w:w="3402" w:type="dxa"/>
            <w:vAlign w:val="center"/>
          </w:tcPr>
          <w:p>
            <w:pPr>
              <w:pStyle w:val="19"/>
            </w:pPr>
            <w:r>
              <w:t>支出总计</w:t>
            </w:r>
          </w:p>
        </w:tc>
        <w:tc>
          <w:tcPr>
            <w:tcW w:w="1474" w:type="dxa"/>
            <w:vAlign w:val="center"/>
          </w:tcPr>
          <w:p>
            <w:pPr>
              <w:pStyle w:val="20"/>
              <w:rPr>
                <w:rFonts w:hint="default"/>
                <w:lang w:val="en-US" w:eastAsia="zh-CN"/>
              </w:rPr>
            </w:pPr>
            <w:r>
              <w:rPr>
                <w:rFonts w:hint="eastAsia"/>
                <w:lang w:val="en-US" w:eastAsia="zh-CN"/>
              </w:rPr>
              <w:t>343.98</w:t>
            </w:r>
          </w:p>
        </w:tc>
        <w:tc>
          <w:tcPr>
            <w:tcW w:w="1474" w:type="dxa"/>
            <w:vAlign w:val="center"/>
          </w:tcPr>
          <w:p>
            <w:pPr>
              <w:pStyle w:val="20"/>
              <w:rPr>
                <w:rFonts w:hint="default"/>
                <w:lang w:val="en-US" w:eastAsia="zh-CN"/>
              </w:rPr>
            </w:pPr>
            <w:r>
              <w:rPr>
                <w:rFonts w:hint="eastAsia"/>
                <w:lang w:val="en-US" w:eastAsia="zh-CN"/>
              </w:rPr>
              <w:t>343.98</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0" w:bottom="1134" w:left="1020" w:header="720" w:footer="720" w:gutter="0"/>
          <w:cols w:space="720" w:num="1"/>
        </w:sectPr>
      </w:pPr>
    </w:p>
    <w:p>
      <w:pPr>
        <w:jc w:val="center"/>
        <w:outlineLvl w:val="1"/>
      </w:pPr>
      <w:bookmarkStart w:id="2"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2"/>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lang w:val="en-US" w:eastAsia="zh-CN"/>
              </w:rPr>
            </w:pPr>
            <w:r>
              <w:rPr>
                <w:rFonts w:hint="eastAsia"/>
                <w:lang w:val="en-US" w:eastAsia="zh-CN"/>
              </w:rPr>
              <w:t>343.98</w:t>
            </w:r>
          </w:p>
        </w:tc>
        <w:tc>
          <w:tcPr>
            <w:tcW w:w="2551" w:type="dxa"/>
            <w:vAlign w:val="center"/>
          </w:tcPr>
          <w:p>
            <w:pPr>
              <w:pStyle w:val="20"/>
              <w:jc w:val="center"/>
              <w:rPr>
                <w:rFonts w:hint="default"/>
                <w:lang w:val="en-US" w:eastAsia="zh-CN"/>
              </w:rPr>
            </w:pPr>
            <w:r>
              <w:rPr>
                <w:rFonts w:hint="eastAsia"/>
                <w:lang w:val="en-US" w:eastAsia="zh-CN"/>
              </w:rPr>
              <w:t xml:space="preserve">                235.48</w:t>
            </w:r>
          </w:p>
        </w:tc>
        <w:tc>
          <w:tcPr>
            <w:tcW w:w="2551" w:type="dxa"/>
            <w:vAlign w:val="center"/>
          </w:tcPr>
          <w:p>
            <w:pPr>
              <w:pStyle w:val="20"/>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rPr>
                <w:rFonts w:hint="default"/>
                <w:lang w:val="en-US" w:eastAsia="zh-CN"/>
              </w:rPr>
            </w:pPr>
            <w:r>
              <w:rPr>
                <w:rFonts w:hint="eastAsia"/>
                <w:lang w:val="en-US" w:eastAsia="zh-CN"/>
              </w:rPr>
              <w:t>307.91</w:t>
            </w:r>
          </w:p>
        </w:tc>
        <w:tc>
          <w:tcPr>
            <w:tcW w:w="2551" w:type="dxa"/>
            <w:vAlign w:val="center"/>
          </w:tcPr>
          <w:p>
            <w:pPr>
              <w:pStyle w:val="16"/>
              <w:rPr>
                <w:rFonts w:hint="default"/>
                <w:lang w:val="en-US" w:eastAsia="zh-CN"/>
              </w:rPr>
            </w:pPr>
            <w:r>
              <w:rPr>
                <w:rFonts w:hint="eastAsia"/>
                <w:lang w:val="en-US" w:eastAsia="zh-CN"/>
              </w:rPr>
              <w:t>199.41</w:t>
            </w:r>
          </w:p>
        </w:tc>
        <w:tc>
          <w:tcPr>
            <w:tcW w:w="2551" w:type="dxa"/>
            <w:vAlign w:val="center"/>
          </w:tcPr>
          <w:p>
            <w:pPr>
              <w:pStyle w:val="16"/>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lang w:eastAsia="zh-CN"/>
              </w:rPr>
            </w:pPr>
            <w:r>
              <w:t>2010</w:t>
            </w:r>
            <w:r>
              <w:rPr>
                <w:rFonts w:hint="eastAsia"/>
                <w:lang w:eastAsia="zh-CN"/>
              </w:rPr>
              <w:t>2</w:t>
            </w:r>
          </w:p>
        </w:tc>
        <w:tc>
          <w:tcPr>
            <w:tcW w:w="4535" w:type="dxa"/>
            <w:vAlign w:val="center"/>
          </w:tcPr>
          <w:p>
            <w:pPr>
              <w:pStyle w:val="17"/>
            </w:pPr>
            <w:r>
              <w:rPr>
                <w:rFonts w:hint="eastAsia"/>
                <w:lang w:eastAsia="zh-CN"/>
              </w:rPr>
              <w:t>政协</w:t>
            </w:r>
            <w:r>
              <w:t>事务</w:t>
            </w:r>
          </w:p>
        </w:tc>
        <w:tc>
          <w:tcPr>
            <w:tcW w:w="2551" w:type="dxa"/>
            <w:vAlign w:val="center"/>
          </w:tcPr>
          <w:p>
            <w:pPr>
              <w:pStyle w:val="16"/>
              <w:rPr>
                <w:rFonts w:hint="default"/>
                <w:lang w:val="en-US" w:eastAsia="zh-CN"/>
              </w:rPr>
            </w:pPr>
            <w:r>
              <w:rPr>
                <w:rFonts w:hint="eastAsia"/>
                <w:lang w:val="en-US" w:eastAsia="zh-CN"/>
              </w:rPr>
              <w:t>307.91</w:t>
            </w:r>
          </w:p>
        </w:tc>
        <w:tc>
          <w:tcPr>
            <w:tcW w:w="2551" w:type="dxa"/>
            <w:vAlign w:val="center"/>
          </w:tcPr>
          <w:p>
            <w:pPr>
              <w:pStyle w:val="16"/>
              <w:rPr>
                <w:rFonts w:hint="default"/>
                <w:lang w:val="en-US" w:eastAsia="zh-CN"/>
              </w:rPr>
            </w:pPr>
            <w:r>
              <w:rPr>
                <w:rFonts w:hint="eastAsia"/>
                <w:lang w:val="en-US" w:eastAsia="zh-CN"/>
              </w:rPr>
              <w:t>199.41</w:t>
            </w:r>
          </w:p>
        </w:tc>
        <w:tc>
          <w:tcPr>
            <w:tcW w:w="2551" w:type="dxa"/>
            <w:vAlign w:val="center"/>
          </w:tcPr>
          <w:p>
            <w:pPr>
              <w:pStyle w:val="16"/>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lang w:eastAsia="zh-CN"/>
              </w:rPr>
            </w:pPr>
            <w:r>
              <w:t>2010</w:t>
            </w:r>
            <w:r>
              <w:rPr>
                <w:rFonts w:hint="eastAsia"/>
                <w:lang w:eastAsia="zh-CN"/>
              </w:rPr>
              <w:t>201</w:t>
            </w:r>
          </w:p>
        </w:tc>
        <w:tc>
          <w:tcPr>
            <w:tcW w:w="4535" w:type="dxa"/>
            <w:vAlign w:val="center"/>
          </w:tcPr>
          <w:p>
            <w:pPr>
              <w:pStyle w:val="17"/>
            </w:pPr>
            <w:r>
              <w:t>行政运行</w:t>
            </w:r>
          </w:p>
        </w:tc>
        <w:tc>
          <w:tcPr>
            <w:tcW w:w="2551" w:type="dxa"/>
            <w:vAlign w:val="center"/>
          </w:tcPr>
          <w:p>
            <w:pPr>
              <w:pStyle w:val="16"/>
              <w:rPr>
                <w:rFonts w:hint="default"/>
                <w:lang w:val="en-US" w:eastAsia="zh-CN"/>
              </w:rPr>
            </w:pPr>
            <w:r>
              <w:rPr>
                <w:rFonts w:hint="eastAsia"/>
                <w:lang w:val="en-US" w:eastAsia="zh-CN"/>
              </w:rPr>
              <w:t>207.41</w:t>
            </w:r>
          </w:p>
        </w:tc>
        <w:tc>
          <w:tcPr>
            <w:tcW w:w="2551" w:type="dxa"/>
            <w:vAlign w:val="center"/>
          </w:tcPr>
          <w:p>
            <w:pPr>
              <w:pStyle w:val="16"/>
              <w:jc w:val="center"/>
              <w:rPr>
                <w:lang w:eastAsia="zh-CN"/>
              </w:rPr>
            </w:pPr>
            <w:r>
              <w:rPr>
                <w:rFonts w:hint="eastAsia"/>
                <w:lang w:eastAsia="zh-CN"/>
              </w:rPr>
              <w:t xml:space="preserve">                </w:t>
            </w:r>
            <w:r>
              <w:rPr>
                <w:rFonts w:hint="eastAsia"/>
                <w:lang w:val="en-US" w:eastAsia="zh-CN"/>
              </w:rPr>
              <w:t>199.41</w:t>
            </w:r>
            <w:r>
              <w:rPr>
                <w:rFonts w:hint="eastAsia"/>
                <w:lang w:eastAsia="zh-CN"/>
              </w:rPr>
              <w:t xml:space="preserve">   </w:t>
            </w:r>
          </w:p>
        </w:tc>
        <w:tc>
          <w:tcPr>
            <w:tcW w:w="2551" w:type="dxa"/>
            <w:vAlign w:val="center"/>
          </w:tcPr>
          <w:p>
            <w:pPr>
              <w:pStyle w:val="16"/>
              <w:rPr>
                <w:rFonts w:hint="default" w:eastAsia="方正书宋_GBK"/>
                <w:lang w:val="en-US" w:eastAsia="zh-CN"/>
              </w:rPr>
            </w:pPr>
            <w:r>
              <w:rPr>
                <w:rFonts w:hint="eastAsia"/>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2010</w:t>
            </w:r>
            <w:r>
              <w:rPr>
                <w:rFonts w:hint="eastAsia"/>
                <w:lang w:eastAsia="zh-CN"/>
              </w:rPr>
              <w:t>2</w:t>
            </w:r>
            <w:r>
              <w:t>02</w:t>
            </w:r>
          </w:p>
        </w:tc>
        <w:tc>
          <w:tcPr>
            <w:tcW w:w="4535" w:type="dxa"/>
            <w:vAlign w:val="center"/>
          </w:tcPr>
          <w:p>
            <w:pPr>
              <w:pStyle w:val="17"/>
            </w:pPr>
            <w:r>
              <w:t>一般行政管理事务</w:t>
            </w:r>
          </w:p>
        </w:tc>
        <w:tc>
          <w:tcPr>
            <w:tcW w:w="2551" w:type="dxa"/>
            <w:vAlign w:val="center"/>
          </w:tcPr>
          <w:p>
            <w:pPr>
              <w:pStyle w:val="16"/>
              <w:rPr>
                <w:rFonts w:hint="default"/>
                <w:lang w:val="en-US" w:eastAsia="zh-CN"/>
              </w:rPr>
            </w:pPr>
            <w:r>
              <w:rPr>
                <w:rFonts w:hint="eastAsia"/>
                <w:lang w:val="en-US" w:eastAsia="zh-CN"/>
              </w:rPr>
              <w:t>207.41</w:t>
            </w:r>
          </w:p>
        </w:tc>
        <w:tc>
          <w:tcPr>
            <w:tcW w:w="2551" w:type="dxa"/>
            <w:vAlign w:val="center"/>
          </w:tcPr>
          <w:p>
            <w:pPr>
              <w:pStyle w:val="16"/>
            </w:pPr>
          </w:p>
        </w:tc>
        <w:tc>
          <w:tcPr>
            <w:tcW w:w="2551" w:type="dxa"/>
            <w:vAlign w:val="center"/>
          </w:tcPr>
          <w:p>
            <w:pPr>
              <w:pStyle w:val="16"/>
              <w:rPr>
                <w:lang w:eastAsia="zh-CN"/>
              </w:rPr>
            </w:pPr>
            <w:r>
              <w:rPr>
                <w:rFonts w:hint="eastAsia"/>
                <w:lang w:eastAsia="zh-CN"/>
              </w:rP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lang w:eastAsia="zh-CN"/>
              </w:rPr>
            </w:pPr>
            <w:r>
              <w:t>2010</w:t>
            </w:r>
            <w:r>
              <w:rPr>
                <w:rFonts w:hint="eastAsia"/>
                <w:lang w:eastAsia="zh-CN"/>
              </w:rPr>
              <w:t>204</w:t>
            </w:r>
          </w:p>
        </w:tc>
        <w:tc>
          <w:tcPr>
            <w:tcW w:w="4535" w:type="dxa"/>
            <w:vAlign w:val="center"/>
          </w:tcPr>
          <w:p>
            <w:pPr>
              <w:pStyle w:val="17"/>
              <w:rPr>
                <w:lang w:eastAsia="zh-CN"/>
              </w:rPr>
            </w:pPr>
            <w:r>
              <w:rPr>
                <w:rFonts w:hint="eastAsia"/>
                <w:lang w:eastAsia="zh-CN"/>
              </w:rPr>
              <w:t>政协会议</w:t>
            </w:r>
          </w:p>
        </w:tc>
        <w:tc>
          <w:tcPr>
            <w:tcW w:w="2551" w:type="dxa"/>
            <w:vAlign w:val="center"/>
          </w:tcPr>
          <w:p>
            <w:pPr>
              <w:pStyle w:val="16"/>
              <w:rPr>
                <w:rFonts w:hint="default"/>
                <w:lang w:val="en-US" w:eastAsia="zh-CN"/>
              </w:rPr>
            </w:pPr>
            <w:r>
              <w:rPr>
                <w:rFonts w:hint="eastAsia"/>
                <w:lang w:val="en-US" w:eastAsia="zh-CN"/>
              </w:rPr>
              <w:t>30</w:t>
            </w:r>
          </w:p>
        </w:tc>
        <w:tc>
          <w:tcPr>
            <w:tcW w:w="2551" w:type="dxa"/>
            <w:vAlign w:val="center"/>
          </w:tcPr>
          <w:p>
            <w:pPr>
              <w:pStyle w:val="16"/>
            </w:pPr>
          </w:p>
        </w:tc>
        <w:tc>
          <w:tcPr>
            <w:tcW w:w="2551" w:type="dxa"/>
            <w:vAlign w:val="center"/>
          </w:tcPr>
          <w:p>
            <w:pPr>
              <w:pStyle w:val="16"/>
              <w:rPr>
                <w:lang w:eastAsia="zh-CN"/>
              </w:rPr>
            </w:pPr>
            <w:r>
              <w:rPr>
                <w:rFonts w:hint="eastAsia"/>
                <w:lang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lang w:eastAsia="zh-CN"/>
              </w:rPr>
            </w:pPr>
            <w:r>
              <w:t>2010</w:t>
            </w:r>
            <w:r>
              <w:rPr>
                <w:rFonts w:hint="eastAsia"/>
                <w:lang w:eastAsia="zh-CN"/>
              </w:rPr>
              <w:t>206</w:t>
            </w:r>
          </w:p>
        </w:tc>
        <w:tc>
          <w:tcPr>
            <w:tcW w:w="4535" w:type="dxa"/>
            <w:vAlign w:val="center"/>
          </w:tcPr>
          <w:p>
            <w:pPr>
              <w:pStyle w:val="17"/>
              <w:rPr>
                <w:lang w:eastAsia="zh-CN"/>
              </w:rPr>
            </w:pPr>
            <w:r>
              <w:rPr>
                <w:rFonts w:hint="eastAsia"/>
                <w:lang w:eastAsia="zh-CN"/>
              </w:rPr>
              <w:t>参政议政</w:t>
            </w:r>
          </w:p>
        </w:tc>
        <w:tc>
          <w:tcPr>
            <w:tcW w:w="2551" w:type="dxa"/>
            <w:vAlign w:val="center"/>
          </w:tcPr>
          <w:p>
            <w:pPr>
              <w:pStyle w:val="16"/>
              <w:rPr>
                <w:rFonts w:hint="default"/>
                <w:lang w:val="en-US" w:eastAsia="zh-CN"/>
              </w:rPr>
            </w:pPr>
            <w:r>
              <w:rPr>
                <w:rFonts w:hint="eastAsia"/>
                <w:lang w:val="en-US" w:eastAsia="zh-CN"/>
              </w:rPr>
              <w:t>16</w:t>
            </w:r>
          </w:p>
        </w:tc>
        <w:tc>
          <w:tcPr>
            <w:tcW w:w="2551" w:type="dxa"/>
            <w:vAlign w:val="center"/>
          </w:tcPr>
          <w:p>
            <w:pPr>
              <w:pStyle w:val="16"/>
            </w:pPr>
          </w:p>
        </w:tc>
        <w:tc>
          <w:tcPr>
            <w:tcW w:w="2551" w:type="dxa"/>
            <w:vAlign w:val="center"/>
          </w:tcPr>
          <w:p>
            <w:pPr>
              <w:pStyle w:val="16"/>
              <w:rPr>
                <w:rFonts w:hint="default"/>
                <w:lang w:val="en-US" w:eastAsia="zh-CN"/>
              </w:rPr>
            </w:pPr>
            <w:r>
              <w:rPr>
                <w:rFonts w:hint="eastAsia"/>
                <w:lang w:val="en-US" w:eastAsia="zh-CN"/>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rPr>
                <w:rFonts w:hint="default"/>
                <w:lang w:val="en-US" w:eastAsia="zh-CN"/>
              </w:rPr>
            </w:pPr>
            <w:r>
              <w:rPr>
                <w:rFonts w:hint="eastAsia"/>
                <w:lang w:val="en-US" w:eastAsia="zh-CN"/>
              </w:rPr>
              <w:t>17.81</w:t>
            </w:r>
          </w:p>
        </w:tc>
        <w:tc>
          <w:tcPr>
            <w:tcW w:w="2551" w:type="dxa"/>
            <w:vAlign w:val="center"/>
          </w:tcPr>
          <w:p>
            <w:pPr>
              <w:pStyle w:val="16"/>
              <w:rPr>
                <w:rFonts w:hint="default"/>
                <w:lang w:val="en-US" w:eastAsia="zh-CN"/>
              </w:rPr>
            </w:pPr>
            <w:r>
              <w:rPr>
                <w:rFonts w:hint="eastAsia"/>
                <w:lang w:val="en-US" w:eastAsia="zh-CN"/>
              </w:rPr>
              <w:t>17.81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rPr>
                <w:rFonts w:hint="default"/>
                <w:lang w:val="en-US" w:eastAsia="zh-CN"/>
              </w:rPr>
            </w:pPr>
            <w:r>
              <w:rPr>
                <w:rFonts w:hint="eastAsia"/>
                <w:lang w:val="en-US" w:eastAsia="zh-CN"/>
              </w:rPr>
              <w:t>17.81</w:t>
            </w:r>
          </w:p>
        </w:tc>
        <w:tc>
          <w:tcPr>
            <w:tcW w:w="2551" w:type="dxa"/>
            <w:vAlign w:val="center"/>
          </w:tcPr>
          <w:p>
            <w:pPr>
              <w:pStyle w:val="16"/>
              <w:rPr>
                <w:rFonts w:hint="default"/>
                <w:lang w:val="en-US" w:eastAsia="zh-CN"/>
              </w:rPr>
            </w:pPr>
            <w:r>
              <w:rPr>
                <w:rFonts w:hint="eastAsia"/>
                <w:lang w:val="en-US" w:eastAsia="zh-CN"/>
              </w:rPr>
              <w:t>17.81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rPr>
                <w:rFonts w:hint="default"/>
                <w:lang w:val="en-US" w:eastAsia="zh-CN"/>
              </w:rPr>
            </w:pPr>
            <w:r>
              <w:rPr>
                <w:rFonts w:hint="eastAsia"/>
                <w:lang w:val="en-US" w:eastAsia="zh-CN"/>
              </w:rPr>
              <w:t>17.81</w:t>
            </w:r>
          </w:p>
        </w:tc>
        <w:tc>
          <w:tcPr>
            <w:tcW w:w="2551" w:type="dxa"/>
            <w:vAlign w:val="center"/>
          </w:tcPr>
          <w:p>
            <w:pPr>
              <w:pStyle w:val="16"/>
              <w:rPr>
                <w:rFonts w:hint="default"/>
                <w:lang w:val="en-US" w:eastAsia="zh-CN"/>
              </w:rPr>
            </w:pPr>
            <w:r>
              <w:rPr>
                <w:rFonts w:hint="eastAsia"/>
                <w:lang w:val="en-US" w:eastAsia="zh-CN"/>
              </w:rPr>
              <w:t>17.81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rPr>
                <w:rFonts w:hint="default"/>
                <w:lang w:val="en-US" w:eastAsia="zh-CN"/>
              </w:rPr>
            </w:pPr>
            <w:r>
              <w:rPr>
                <w:rFonts w:hint="eastAsia"/>
                <w:lang w:val="en-US" w:eastAsia="zh-CN"/>
              </w:rPr>
              <w:t>7.13</w:t>
            </w:r>
          </w:p>
        </w:tc>
        <w:tc>
          <w:tcPr>
            <w:tcW w:w="2551" w:type="dxa"/>
            <w:vAlign w:val="center"/>
          </w:tcPr>
          <w:p>
            <w:pPr>
              <w:pStyle w:val="16"/>
              <w:rPr>
                <w:rFonts w:hint="default"/>
                <w:lang w:val="en-US" w:eastAsia="zh-CN"/>
              </w:rPr>
            </w:pPr>
            <w:r>
              <w:rPr>
                <w:rFonts w:hint="eastAsia"/>
                <w:lang w:val="en-US" w:eastAsia="zh-CN"/>
              </w:rPr>
              <w:t>7.13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rPr>
                <w:rFonts w:hint="default"/>
                <w:lang w:val="en-US" w:eastAsia="zh-CN"/>
              </w:rPr>
            </w:pPr>
            <w:r>
              <w:rPr>
                <w:rFonts w:hint="eastAsia"/>
                <w:lang w:val="en-US" w:eastAsia="zh-CN"/>
              </w:rPr>
              <w:t>7.13</w:t>
            </w:r>
          </w:p>
        </w:tc>
        <w:tc>
          <w:tcPr>
            <w:tcW w:w="2551" w:type="dxa"/>
            <w:vAlign w:val="center"/>
          </w:tcPr>
          <w:p>
            <w:pPr>
              <w:pStyle w:val="16"/>
              <w:rPr>
                <w:rFonts w:hint="default"/>
                <w:lang w:val="en-US" w:eastAsia="zh-CN"/>
              </w:rPr>
            </w:pPr>
            <w:r>
              <w:rPr>
                <w:rFonts w:hint="eastAsia"/>
                <w:lang w:val="en-US" w:eastAsia="zh-CN"/>
              </w:rPr>
              <w:t>7.13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rPr>
                <w:rFonts w:hint="default"/>
                <w:lang w:val="en-US" w:eastAsia="zh-CN"/>
              </w:rPr>
            </w:pPr>
            <w:r>
              <w:rPr>
                <w:rFonts w:hint="eastAsia"/>
                <w:lang w:val="en-US" w:eastAsia="zh-CN"/>
              </w:rPr>
              <w:t>7.13</w:t>
            </w:r>
          </w:p>
        </w:tc>
        <w:tc>
          <w:tcPr>
            <w:tcW w:w="2551" w:type="dxa"/>
            <w:vAlign w:val="center"/>
          </w:tcPr>
          <w:p>
            <w:pPr>
              <w:pStyle w:val="16"/>
              <w:rPr>
                <w:rFonts w:hint="default"/>
                <w:lang w:val="en-US" w:eastAsia="zh-CN"/>
              </w:rPr>
            </w:pPr>
            <w:r>
              <w:rPr>
                <w:rFonts w:hint="eastAsia"/>
                <w:lang w:val="en-US" w:eastAsia="zh-CN"/>
              </w:rPr>
              <w:t>7.13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rPr>
                <w:rFonts w:hint="default"/>
                <w:lang w:val="en-US" w:eastAsia="zh-CN"/>
              </w:rPr>
            </w:pPr>
            <w:r>
              <w:rPr>
                <w:rFonts w:hint="eastAsia"/>
                <w:lang w:val="en-US" w:eastAsia="zh-CN"/>
              </w:rPr>
              <w:t>11.13</w:t>
            </w:r>
          </w:p>
        </w:tc>
        <w:tc>
          <w:tcPr>
            <w:tcW w:w="2551" w:type="dxa"/>
            <w:vAlign w:val="center"/>
          </w:tcPr>
          <w:p>
            <w:pPr>
              <w:pStyle w:val="16"/>
              <w:rPr>
                <w:rFonts w:hint="default"/>
                <w:lang w:val="en-US" w:eastAsia="zh-CN"/>
              </w:rPr>
            </w:pPr>
            <w:r>
              <w:rPr>
                <w:rFonts w:hint="eastAsia"/>
                <w:lang w:val="en-US" w:eastAsia="zh-CN"/>
              </w:rPr>
              <w:t>11.13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rPr>
                <w:rFonts w:hint="default"/>
                <w:lang w:val="en-US" w:eastAsia="zh-CN"/>
              </w:rPr>
            </w:pPr>
            <w:r>
              <w:rPr>
                <w:rFonts w:hint="eastAsia"/>
                <w:lang w:val="en-US" w:eastAsia="zh-CN"/>
              </w:rPr>
              <w:t>11.13</w:t>
            </w:r>
          </w:p>
        </w:tc>
        <w:tc>
          <w:tcPr>
            <w:tcW w:w="255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255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3"/>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lang w:val="en-US" w:eastAsia="zh-CN"/>
              </w:rPr>
            </w:pPr>
            <w:r>
              <w:rPr>
                <w:rFonts w:hint="eastAsia"/>
                <w:lang w:val="en-US" w:eastAsia="zh-CN"/>
              </w:rPr>
              <w:t>235.48</w:t>
            </w:r>
          </w:p>
        </w:tc>
        <w:tc>
          <w:tcPr>
            <w:tcW w:w="2551" w:type="dxa"/>
            <w:vAlign w:val="center"/>
          </w:tcPr>
          <w:p>
            <w:pPr>
              <w:pStyle w:val="20"/>
              <w:rPr>
                <w:rFonts w:hint="default"/>
                <w:lang w:val="en-US" w:eastAsia="zh-CN"/>
              </w:rPr>
            </w:pPr>
            <w:r>
              <w:rPr>
                <w:rFonts w:hint="eastAsia"/>
                <w:lang w:val="en-US" w:eastAsia="zh-CN"/>
              </w:rPr>
              <w:t>158.25</w:t>
            </w:r>
          </w:p>
        </w:tc>
        <w:tc>
          <w:tcPr>
            <w:tcW w:w="2552" w:type="dxa"/>
            <w:vAlign w:val="center"/>
          </w:tcPr>
          <w:p>
            <w:pPr>
              <w:pStyle w:val="20"/>
              <w:rPr>
                <w:rFonts w:hint="default"/>
                <w:lang w:val="en-US" w:eastAsia="zh-CN"/>
              </w:rPr>
            </w:pPr>
            <w:r>
              <w:rPr>
                <w:rFonts w:hint="eastAsia"/>
                <w:lang w:val="en-US" w:eastAsia="zh-CN"/>
              </w:rPr>
              <w:t>77.23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lang w:val="en-US" w:eastAsia="zh-CN"/>
              </w:rPr>
            </w:pPr>
            <w:r>
              <w:rPr>
                <w:rFonts w:hint="eastAsia"/>
                <w:lang w:val="en-US" w:eastAsia="zh-CN"/>
              </w:rPr>
              <w:t>158.25</w:t>
            </w:r>
          </w:p>
        </w:tc>
        <w:tc>
          <w:tcPr>
            <w:tcW w:w="2551" w:type="dxa"/>
            <w:vAlign w:val="center"/>
          </w:tcPr>
          <w:p>
            <w:pPr>
              <w:pStyle w:val="16"/>
              <w:rPr>
                <w:rFonts w:hint="default" w:eastAsia="方正书宋_GBK"/>
                <w:lang w:val="en-US" w:eastAsia="zh-CN"/>
              </w:rPr>
            </w:pPr>
            <w:r>
              <w:rPr>
                <w:rFonts w:hint="eastAsia"/>
                <w:lang w:val="en-US" w:eastAsia="zh-CN"/>
              </w:rPr>
              <w:t>158.25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lang w:val="en-US" w:eastAsia="zh-CN"/>
              </w:rPr>
            </w:pPr>
            <w:r>
              <w:rPr>
                <w:rFonts w:hint="eastAsia"/>
                <w:lang w:val="en-US" w:eastAsia="zh-CN"/>
              </w:rPr>
              <w:t>75.31</w:t>
            </w:r>
          </w:p>
        </w:tc>
        <w:tc>
          <w:tcPr>
            <w:tcW w:w="2551" w:type="dxa"/>
            <w:vAlign w:val="center"/>
          </w:tcPr>
          <w:p>
            <w:pPr>
              <w:pStyle w:val="16"/>
              <w:rPr>
                <w:rFonts w:hint="default" w:eastAsia="方正书宋_GBK"/>
                <w:lang w:val="en-US" w:eastAsia="zh-CN"/>
              </w:rPr>
            </w:pPr>
            <w:r>
              <w:rPr>
                <w:rFonts w:hint="eastAsia"/>
                <w:lang w:val="en-US" w:eastAsia="zh-CN"/>
              </w:rPr>
              <w:t>75.31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lang w:val="en-US" w:eastAsia="zh-CN"/>
              </w:rPr>
            </w:pPr>
            <w:r>
              <w:rPr>
                <w:rFonts w:hint="eastAsia"/>
                <w:lang w:val="en-US" w:eastAsia="zh-CN"/>
              </w:rPr>
              <w:t>35.11</w:t>
            </w:r>
          </w:p>
        </w:tc>
        <w:tc>
          <w:tcPr>
            <w:tcW w:w="2551" w:type="dxa"/>
            <w:vAlign w:val="center"/>
          </w:tcPr>
          <w:p>
            <w:pPr>
              <w:pStyle w:val="16"/>
              <w:rPr>
                <w:rFonts w:hint="default" w:eastAsia="方正书宋_GBK"/>
                <w:lang w:val="en-US" w:eastAsia="zh-CN"/>
              </w:rPr>
            </w:pPr>
            <w:r>
              <w:rPr>
                <w:rFonts w:hint="eastAsia"/>
                <w:lang w:val="en-US" w:eastAsia="zh-CN"/>
              </w:rPr>
              <w:t>35.11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jc w:val="center"/>
              <w:rPr>
                <w:lang w:eastAsia="zh-CN"/>
              </w:rPr>
            </w:pPr>
            <w:r>
              <w:rPr>
                <w:rFonts w:hint="eastAsia"/>
                <w:lang w:eastAsia="zh-CN"/>
              </w:rPr>
              <w:t xml:space="preserve">                  </w:t>
            </w:r>
            <w:r>
              <w:rPr>
                <w:rFonts w:hint="eastAsia"/>
                <w:lang w:val="en-US" w:eastAsia="zh-CN"/>
              </w:rPr>
              <w:t>5.37</w:t>
            </w:r>
            <w:r>
              <w:rPr>
                <w:rFonts w:hint="eastAsia"/>
                <w:lang w:eastAsia="zh-CN"/>
              </w:rPr>
              <w:t xml:space="preserve">    </w:t>
            </w:r>
          </w:p>
        </w:tc>
        <w:tc>
          <w:tcPr>
            <w:tcW w:w="2551" w:type="dxa"/>
            <w:vAlign w:val="center"/>
          </w:tcPr>
          <w:p>
            <w:pPr>
              <w:pStyle w:val="16"/>
              <w:rPr>
                <w:rFonts w:hint="default" w:eastAsia="方正书宋_GBK"/>
                <w:lang w:val="en-US" w:eastAsia="zh-CN"/>
              </w:rPr>
            </w:pPr>
            <w:r>
              <w:rPr>
                <w:rFonts w:hint="eastAsia"/>
                <w:lang w:val="en-US" w:eastAsia="zh-CN"/>
              </w:rPr>
              <w:t>5.37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rFonts w:hint="default"/>
                <w:lang w:val="en-US" w:eastAsia="zh-CN"/>
              </w:rPr>
            </w:pPr>
            <w:r>
              <w:rPr>
                <w:rFonts w:hint="eastAsia"/>
                <w:lang w:val="en-US" w:eastAsia="zh-CN"/>
              </w:rPr>
              <w:t>5.68</w:t>
            </w:r>
          </w:p>
        </w:tc>
        <w:tc>
          <w:tcPr>
            <w:tcW w:w="2551" w:type="dxa"/>
            <w:vAlign w:val="center"/>
          </w:tcPr>
          <w:p>
            <w:pPr>
              <w:pStyle w:val="16"/>
              <w:rPr>
                <w:rFonts w:hint="default" w:eastAsia="方正书宋_GBK"/>
                <w:lang w:val="en-US" w:eastAsia="zh-CN"/>
              </w:rPr>
            </w:pPr>
            <w:r>
              <w:rPr>
                <w:rFonts w:hint="eastAsia"/>
                <w:lang w:val="en-US" w:eastAsia="zh-CN"/>
              </w:rPr>
              <w:t>5.68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lang w:val="en-US" w:eastAsia="zh-CN"/>
              </w:rPr>
            </w:pPr>
            <w:r>
              <w:rPr>
                <w:rFonts w:hint="eastAsia"/>
                <w:lang w:val="en-US" w:eastAsia="zh-CN"/>
              </w:rPr>
              <w:t>17.81</w:t>
            </w:r>
          </w:p>
        </w:tc>
        <w:tc>
          <w:tcPr>
            <w:tcW w:w="2551" w:type="dxa"/>
            <w:vAlign w:val="center"/>
          </w:tcPr>
          <w:p>
            <w:pPr>
              <w:pStyle w:val="16"/>
              <w:rPr>
                <w:rFonts w:hint="default" w:eastAsia="方正书宋_GBK"/>
                <w:lang w:val="en-US" w:eastAsia="zh-CN"/>
              </w:rPr>
            </w:pPr>
            <w:r>
              <w:rPr>
                <w:rFonts w:hint="eastAsia"/>
                <w:lang w:val="en-US" w:eastAsia="zh-CN"/>
              </w:rPr>
              <w:t>17.81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rFonts w:hint="default"/>
                <w:lang w:val="en-US" w:eastAsia="zh-CN"/>
              </w:rPr>
            </w:pPr>
            <w:r>
              <w:rPr>
                <w:rFonts w:hint="eastAsia"/>
                <w:lang w:val="en-US" w:eastAsia="zh-CN"/>
              </w:rPr>
              <w:t>7.13</w:t>
            </w:r>
          </w:p>
        </w:tc>
        <w:tc>
          <w:tcPr>
            <w:tcW w:w="2551" w:type="dxa"/>
            <w:vAlign w:val="center"/>
          </w:tcPr>
          <w:p>
            <w:pPr>
              <w:pStyle w:val="16"/>
              <w:rPr>
                <w:rFonts w:hint="default" w:eastAsia="方正书宋_GBK"/>
                <w:lang w:val="en-US" w:eastAsia="zh-CN"/>
              </w:rPr>
            </w:pPr>
            <w:r>
              <w:rPr>
                <w:rFonts w:hint="eastAsia"/>
                <w:lang w:val="en-US" w:eastAsia="zh-CN"/>
              </w:rPr>
              <w:t>7.13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jc w:val="center"/>
              <w:rPr>
                <w:rFonts w:hint="default"/>
                <w:lang w:val="en-US" w:eastAsia="zh-CN"/>
              </w:rPr>
            </w:pPr>
            <w:r>
              <w:rPr>
                <w:rFonts w:hint="eastAsia"/>
                <w:lang w:eastAsia="zh-CN"/>
              </w:rPr>
              <w:t xml:space="preserve">                  </w:t>
            </w:r>
            <w:r>
              <w:rPr>
                <w:rFonts w:hint="eastAsia"/>
                <w:lang w:val="en-US" w:eastAsia="zh-CN"/>
              </w:rPr>
              <w:t>0.71</w:t>
            </w:r>
          </w:p>
        </w:tc>
        <w:tc>
          <w:tcPr>
            <w:tcW w:w="2551" w:type="dxa"/>
            <w:vAlign w:val="center"/>
          </w:tcPr>
          <w:p>
            <w:pPr>
              <w:pStyle w:val="16"/>
              <w:rPr>
                <w:rFonts w:hint="default" w:eastAsia="方正书宋_GBK"/>
                <w:lang w:val="en-US" w:eastAsia="zh-CN"/>
              </w:rPr>
            </w:pPr>
            <w:r>
              <w:rPr>
                <w:rFonts w:hint="eastAsia"/>
                <w:lang w:val="en-US" w:eastAsia="zh-CN"/>
              </w:rPr>
              <w:t>0.71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rFonts w:hint="default"/>
                <w:lang w:val="en-US" w:eastAsia="zh-CN"/>
              </w:rPr>
            </w:pPr>
            <w:r>
              <w:rPr>
                <w:rFonts w:hint="eastAsia"/>
                <w:lang w:eastAsia="zh-CN"/>
              </w:rPr>
              <w:t>1</w:t>
            </w:r>
            <w:r>
              <w:rPr>
                <w:rFonts w:hint="eastAsia"/>
                <w:lang w:val="en-US" w:eastAsia="zh-CN"/>
              </w:rPr>
              <w:t>1.13</w:t>
            </w:r>
          </w:p>
        </w:tc>
        <w:tc>
          <w:tcPr>
            <w:tcW w:w="2551" w:type="dxa"/>
            <w:vAlign w:val="center"/>
          </w:tcPr>
          <w:p>
            <w:pPr>
              <w:pStyle w:val="16"/>
              <w:rPr>
                <w:rFonts w:hint="default" w:eastAsia="方正书宋_GBK"/>
                <w:lang w:val="en-US" w:eastAsia="zh-CN"/>
              </w:rPr>
            </w:pPr>
            <w:r>
              <w:rPr>
                <w:rFonts w:hint="eastAsia"/>
                <w:lang w:val="en-US" w:eastAsia="zh-CN"/>
              </w:rPr>
              <w:t>11.13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default"/>
                <w:lang w:val="en-US" w:eastAsia="zh-CN"/>
              </w:rPr>
            </w:pPr>
            <w:r>
              <w:rPr>
                <w:rFonts w:hint="eastAsia"/>
                <w:lang w:val="en-US" w:eastAsia="zh-CN"/>
              </w:rPr>
              <w:t>77.23</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77.23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default"/>
                <w:lang w:val="en-US" w:eastAsia="zh-CN"/>
              </w:rPr>
            </w:pPr>
            <w:r>
              <w:rPr>
                <w:rFonts w:hint="eastAsia"/>
                <w:lang w:val="en-US" w:eastAsia="zh-CN"/>
              </w:rPr>
              <w:t>40.52</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40.52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lang w:eastAsia="zh-CN"/>
              </w:rPr>
            </w:pPr>
            <w:r>
              <w:rPr>
                <w:rFonts w:hint="eastAsia"/>
                <w:lang w:eastAsia="zh-CN"/>
              </w:rPr>
              <w:t>0.36</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rFonts w:hint="default"/>
                <w:lang w:val="en-US" w:eastAsia="zh-CN"/>
              </w:rPr>
            </w:pPr>
            <w:r>
              <w:rPr>
                <w:rFonts w:hint="eastAsia"/>
                <w:lang w:eastAsia="zh-CN"/>
              </w:rPr>
              <w:t>1.</w:t>
            </w:r>
            <w:r>
              <w:rPr>
                <w:rFonts w:hint="eastAsia"/>
                <w:lang w:val="en-US" w:eastAsia="zh-CN"/>
              </w:rPr>
              <w:t>31</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rFonts w:hint="default"/>
                <w:lang w:val="en-US" w:eastAsia="zh-CN"/>
              </w:rPr>
            </w:pPr>
            <w:r>
              <w:rPr>
                <w:rFonts w:hint="eastAsia"/>
                <w:lang w:val="en-US" w:eastAsia="zh-CN"/>
              </w:rPr>
              <w:t>2.76</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rPr>
                <w:rFonts w:hint="default"/>
                <w:lang w:val="en-US" w:eastAsia="zh-CN"/>
              </w:rPr>
            </w:pPr>
            <w:r>
              <w:rPr>
                <w:rFonts w:hint="eastAsia"/>
                <w:lang w:val="en-US" w:eastAsia="zh-CN"/>
              </w:rPr>
              <w:t>12.23</w:t>
            </w:r>
          </w:p>
        </w:tc>
        <w:tc>
          <w:tcPr>
            <w:tcW w:w="2551" w:type="dxa"/>
            <w:vAlign w:val="center"/>
          </w:tcPr>
          <w:p>
            <w:pPr>
              <w:pStyle w:val="16"/>
            </w:pPr>
          </w:p>
        </w:tc>
        <w:tc>
          <w:tcPr>
            <w:tcW w:w="2552" w:type="dxa"/>
            <w:vAlign w:val="center"/>
          </w:tcPr>
          <w:p>
            <w:pPr>
              <w:pStyle w:val="16"/>
              <w:rPr>
                <w:rFonts w:hint="default" w:eastAsia="方正书宋_GBK"/>
                <w:lang w:val="en-US" w:eastAsia="zh-CN"/>
              </w:rPr>
            </w:pPr>
            <w:r>
              <w:t>1</w:t>
            </w:r>
            <w:r>
              <w:rPr>
                <w:rFonts w:hint="eastAsia"/>
                <w:lang w:val="en-US" w:eastAsia="zh-CN"/>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rFonts w:hint="default"/>
                <w:lang w:val="en-US" w:eastAsia="zh-CN"/>
              </w:rPr>
            </w:pPr>
            <w:r>
              <w:rPr>
                <w:rFonts w:hint="eastAsia"/>
                <w:lang w:val="en-US" w:eastAsia="zh-CN"/>
              </w:rPr>
              <w:t>0.36</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0.36</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lang w:eastAsia="zh-CN"/>
        </w:rPr>
      </w:pPr>
      <w:bookmarkStart w:id="6" w:name="_Toc_2_2_0000000009"/>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6"/>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b w:val="0"/>
                <w:lang w:val="en-US" w:eastAsia="zh-CN"/>
              </w:rPr>
            </w:pPr>
            <w:r>
              <w:rPr>
                <w:rFonts w:hint="eastAsia"/>
                <w:b w:val="0"/>
                <w:lang w:val="en-US" w:eastAsia="zh-CN"/>
              </w:rPr>
              <w:t>12.5</w:t>
            </w:r>
          </w:p>
        </w:tc>
        <w:tc>
          <w:tcPr>
            <w:tcW w:w="2381" w:type="dxa"/>
            <w:vAlign w:val="center"/>
          </w:tcPr>
          <w:p>
            <w:pPr>
              <w:pStyle w:val="20"/>
              <w:rPr>
                <w:rFonts w:hint="default"/>
                <w:b w:val="0"/>
                <w:lang w:val="en-US" w:eastAsia="zh-CN"/>
              </w:rPr>
            </w:pPr>
            <w:r>
              <w:rPr>
                <w:rFonts w:hint="eastAsia"/>
                <w:b w:val="0"/>
                <w:lang w:val="en-US" w:eastAsia="zh-CN"/>
              </w:rPr>
              <w:t>12.5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rPr>
                <w:rFonts w:hint="default" w:eastAsia="方正书宋_GBK"/>
                <w:lang w:val="en-US" w:eastAsia="zh-CN"/>
              </w:rPr>
            </w:pPr>
            <w:r>
              <w:rPr>
                <w:rFonts w:hint="eastAsia"/>
                <w:lang w:val="en-US" w:eastAsia="zh-CN"/>
              </w:rPr>
              <w:t>12.5</w:t>
            </w:r>
          </w:p>
        </w:tc>
        <w:tc>
          <w:tcPr>
            <w:tcW w:w="2381" w:type="dxa"/>
            <w:vAlign w:val="center"/>
          </w:tcPr>
          <w:p>
            <w:pPr>
              <w:pStyle w:val="16"/>
              <w:rPr>
                <w:rFonts w:hint="default" w:eastAsia="方正书宋_GBK"/>
                <w:lang w:val="en-US" w:eastAsia="zh-CN"/>
              </w:rPr>
            </w:pPr>
            <w:r>
              <w:rPr>
                <w:rFonts w:hint="eastAsia"/>
                <w:lang w:val="en-US" w:eastAsia="zh-CN"/>
              </w:rPr>
              <w:t>12.5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jc w:val="both"/>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pPr>
            <w:r>
              <w:rPr>
                <w:rFonts w:hint="eastAsia"/>
                <w:lang w:eastAsia="zh-CN"/>
              </w:rPr>
              <w:t>7.50</w:t>
            </w:r>
          </w:p>
        </w:tc>
        <w:tc>
          <w:tcPr>
            <w:tcW w:w="2381" w:type="dxa"/>
            <w:vAlign w:val="center"/>
          </w:tcPr>
          <w:p>
            <w:pPr>
              <w:pStyle w:val="16"/>
              <w:rPr>
                <w:lang w:eastAsia="zh-CN"/>
              </w:rPr>
            </w:pPr>
            <w:r>
              <w:rPr>
                <w:rFonts w:hint="eastAsia"/>
                <w:lang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6"/>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6"/>
            </w:pPr>
          </w:p>
        </w:tc>
        <w:tc>
          <w:tcPr>
            <w:tcW w:w="2381" w:type="dxa"/>
            <w:vAlign w:val="center"/>
          </w:tcPr>
          <w:p>
            <w:pPr>
              <w:pStyle w:val="16"/>
            </w:pPr>
          </w:p>
        </w:tc>
      </w:tr>
    </w:tbl>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pPr>
      <w:r>
        <w:rPr>
          <w:rFonts w:ascii="方正书宋_GBK" w:hAnsi="方正书宋_GBK" w:eastAsia="方正书宋_GBK" w:cs="方正书宋_GBK"/>
          <w:color w:val="FFFFFF"/>
          <w:sz w:val="21"/>
        </w:rPr>
        <w:t>年</w:t>
      </w:r>
      <w:r>
        <w:rPr>
          <w:rFonts w:hint="eastAsia" w:ascii="方正小标宋_GBK" w:hAnsi="方正小标宋_GBK" w:eastAsia="方正小标宋_GBK" w:cs="方正小标宋_GBK"/>
          <w:color w:val="000000"/>
          <w:sz w:val="44"/>
          <w:lang w:eastAsia="zh-CN"/>
        </w:rPr>
        <w:t>涞水县政协</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涞水县政协</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val="en-US" w:eastAsia="zh-CN"/>
        </w:rPr>
        <w:t>单位</w:t>
      </w:r>
      <w:r>
        <w:rPr>
          <w:rFonts w:eastAsia="方正仿宋_GBK"/>
          <w:color w:val="000000"/>
          <w:sz w:val="28"/>
        </w:rPr>
        <w:t>预算公开如下：</w:t>
      </w:r>
    </w:p>
    <w:p>
      <w:pPr>
        <w:spacing w:before="10" w:after="10" w:line="360" w:lineRule="auto"/>
        <w:ind w:firstLine="640"/>
        <w:outlineLvl w:val="2"/>
      </w:pPr>
      <w:bookmarkStart w:id="7"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7"/>
    </w:p>
    <w:p>
      <w:pPr>
        <w:ind w:firstLine="640"/>
      </w:pP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职责：</w:t>
      </w:r>
      <w:bookmarkStart w:id="13" w:name="_GoBack"/>
      <w:bookmarkEnd w:id="13"/>
    </w:p>
    <w:p>
      <w:pPr>
        <w:ind w:firstLine="640"/>
        <w:rPr>
          <w:rFonts w:eastAsia="方正仿宋_GBK"/>
          <w:sz w:val="28"/>
          <w:lang w:val="zh-CN"/>
        </w:rPr>
      </w:pPr>
      <w:r>
        <w:rPr>
          <w:rFonts w:hint="eastAsia" w:eastAsia="方正仿宋_GBK"/>
          <w:sz w:val="28"/>
          <w:lang w:val="zh-CN"/>
        </w:rPr>
        <w:t>根据《中国人民政治协商会议河北省涞水县委员会职能配置、内设机构和人员编制方案》规定，中国人民政治协商会议河北省涞水县委员会的主要职责是：</w:t>
      </w:r>
    </w:p>
    <w:p>
      <w:pPr>
        <w:ind w:firstLine="640"/>
        <w:rPr>
          <w:rFonts w:eastAsia="方正仿宋_GBK"/>
          <w:sz w:val="28"/>
          <w:lang w:val="zh-CN"/>
        </w:rPr>
      </w:pPr>
      <w:r>
        <w:rPr>
          <w:rFonts w:hint="eastAsia" w:eastAsia="方正仿宋_GBK"/>
          <w:sz w:val="28"/>
          <w:lang w:val="zh-CN"/>
        </w:rPr>
        <w:t>1、负责县政协全体会议、常务委员会议、主席会议、主席办公会议、常务委员专题会议的会务工作；负责组织实施全体会议、常务委员会议、主席会议的决议。</w:t>
      </w:r>
    </w:p>
    <w:p>
      <w:pPr>
        <w:ind w:firstLine="640"/>
        <w:rPr>
          <w:rFonts w:eastAsia="方正仿宋_GBK"/>
          <w:sz w:val="28"/>
          <w:lang w:val="zh-CN"/>
        </w:rPr>
      </w:pPr>
      <w:r>
        <w:rPr>
          <w:rFonts w:hint="eastAsia" w:eastAsia="方正仿宋_GBK"/>
          <w:sz w:val="28"/>
          <w:lang w:val="zh-CN"/>
        </w:rPr>
        <w:t>2、协调县政协各专门委员会工作，充分发挥县政协委员的作用，履行好政治协商、民主监督、参政议政的基本职责。</w:t>
      </w:r>
    </w:p>
    <w:p>
      <w:pPr>
        <w:ind w:firstLine="640"/>
        <w:rPr>
          <w:rFonts w:eastAsia="方正仿宋_GBK"/>
          <w:sz w:val="28"/>
          <w:lang w:val="zh-CN"/>
        </w:rPr>
      </w:pPr>
      <w:r>
        <w:rPr>
          <w:rFonts w:hint="eastAsia" w:eastAsia="方正仿宋_GBK"/>
          <w:sz w:val="28"/>
          <w:lang w:val="zh-CN"/>
        </w:rPr>
        <w:t>3、负责县政协委员进行视察、参观、调查、座谈、学习、研讨等日常活动的组织和服务及走访委员工作。</w:t>
      </w:r>
    </w:p>
    <w:p>
      <w:pPr>
        <w:ind w:firstLine="640"/>
        <w:rPr>
          <w:rFonts w:eastAsia="方正仿宋_GBK"/>
          <w:sz w:val="28"/>
          <w:lang w:val="zh-CN"/>
        </w:rPr>
      </w:pPr>
      <w:r>
        <w:rPr>
          <w:rFonts w:hint="eastAsia" w:eastAsia="方正仿宋_GBK"/>
          <w:sz w:val="28"/>
          <w:lang w:val="zh-CN"/>
        </w:rPr>
        <w:t>4、负责政协机关的日常行政事务和后勤保障工作。</w:t>
      </w:r>
    </w:p>
    <w:p>
      <w:pPr>
        <w:ind w:firstLine="640"/>
        <w:rPr>
          <w:rFonts w:eastAsia="方正仿宋_GBK"/>
          <w:sz w:val="28"/>
          <w:lang w:val="zh-CN"/>
        </w:rPr>
      </w:pPr>
      <w:r>
        <w:rPr>
          <w:rFonts w:hint="eastAsia" w:eastAsia="方正仿宋_GBK"/>
          <w:sz w:val="28"/>
          <w:lang w:val="zh-CN"/>
        </w:rPr>
        <w:t>5、负责县政协委员的联络接待、来信来访工作。</w:t>
      </w:r>
    </w:p>
    <w:p>
      <w:pPr>
        <w:ind w:firstLine="640"/>
        <w:rPr>
          <w:rFonts w:eastAsia="方正仿宋_GBK"/>
          <w:sz w:val="28"/>
          <w:lang w:val="zh-CN"/>
        </w:rPr>
      </w:pPr>
      <w:r>
        <w:rPr>
          <w:rFonts w:hint="eastAsia" w:eastAsia="方正仿宋_GBK"/>
          <w:sz w:val="28"/>
          <w:lang w:val="zh-CN"/>
        </w:rPr>
        <w:t>6、负责政协领导交办的其它工作。</w:t>
      </w:r>
    </w:p>
    <w:p>
      <w:pPr>
        <w:ind w:firstLine="640"/>
        <w:rPr>
          <w:rFonts w:eastAsia="方正仿宋_GBK"/>
          <w:sz w:val="28"/>
        </w:rPr>
      </w:pPr>
      <w:r>
        <w:rPr>
          <w:rFonts w:hint="eastAsia" w:eastAsia="方正仿宋_GBK"/>
          <w:sz w:val="28"/>
          <w:lang w:val="zh-CN"/>
        </w:rPr>
        <w:t>7、负责完成县委交办的其它工作等任务。</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会计工作</w:t>
      </w:r>
      <w:r>
        <w:rPr>
          <w:rFonts w:hint="eastAsia"/>
          <w:lang w:val="en-US" w:eastAsia="zh-CN"/>
        </w:rPr>
        <w:t>的管理</w:t>
      </w: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中国人民政治协商会议河北省涞水县委员会</w:t>
            </w:r>
            <w:r>
              <w:t>（本级）</w:t>
            </w:r>
          </w:p>
        </w:tc>
        <w:tc>
          <w:tcPr>
            <w:tcW w:w="1843" w:type="dxa"/>
            <w:vAlign w:val="center"/>
          </w:tcPr>
          <w:p>
            <w:pPr>
              <w:pStyle w:val="18"/>
            </w:pPr>
            <w:r>
              <w:t>行政</w:t>
            </w:r>
          </w:p>
        </w:tc>
        <w:tc>
          <w:tcPr>
            <w:tcW w:w="2126" w:type="dxa"/>
            <w:vAlign w:val="center"/>
          </w:tcPr>
          <w:p>
            <w:pPr>
              <w:pStyle w:val="18"/>
              <w:rPr>
                <w:lang w:eastAsia="zh-CN"/>
              </w:rPr>
            </w:pPr>
            <w:r>
              <w:rPr>
                <w:rFonts w:hint="eastAsia"/>
                <w:lang w:eastAsia="zh-CN"/>
              </w:rPr>
              <w:t>正处级</w:t>
            </w:r>
          </w:p>
        </w:tc>
        <w:tc>
          <w:tcPr>
            <w:tcW w:w="3827" w:type="dxa"/>
            <w:vAlign w:val="center"/>
          </w:tcPr>
          <w:p>
            <w:pPr>
              <w:pStyle w:val="18"/>
            </w:pPr>
            <w:r>
              <w:t>财政拨款</w:t>
            </w:r>
          </w:p>
        </w:tc>
      </w:tr>
    </w:tbl>
    <w:p>
      <w:pPr>
        <w:spacing w:before="10" w:after="10" w:line="360" w:lineRule="auto"/>
        <w:outlineLvl w:val="2"/>
        <w:rPr>
          <w:rFonts w:ascii="黑体" w:hAnsi="黑体" w:eastAsia="黑体" w:cs="黑体"/>
          <w:color w:val="000000"/>
          <w:sz w:val="32"/>
          <w:lang w:eastAsia="zh-CN"/>
        </w:rPr>
      </w:pPr>
      <w:bookmarkStart w:id="8" w:name="_Toc_3_3_0000000011"/>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lang w:eastAsia="zh-CN"/>
        </w:rPr>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8"/>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预算编制实行综合预算管理，即全部收入和支出都反映在预算中。</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1、收入情况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val="en-US" w:eastAsia="zh-CN"/>
        </w:rPr>
        <w:t>单位</w:t>
      </w:r>
      <w:r>
        <w:rPr>
          <w:rFonts w:hint="eastAsia" w:eastAsia="方正仿宋_GBK"/>
          <w:color w:val="000000"/>
          <w:sz w:val="28"/>
        </w:rPr>
        <w:t>收入总额</w:t>
      </w:r>
      <w:r>
        <w:rPr>
          <w:rFonts w:hint="eastAsia" w:eastAsia="方正仿宋_GBK"/>
          <w:color w:val="000000"/>
          <w:sz w:val="28"/>
          <w:lang w:val="en-US" w:eastAsia="zh-CN"/>
        </w:rPr>
        <w:t>343.98</w:t>
      </w:r>
      <w:r>
        <w:rPr>
          <w:rFonts w:hint="eastAsia" w:eastAsia="方正仿宋_GBK"/>
          <w:color w:val="000000"/>
          <w:sz w:val="28"/>
        </w:rPr>
        <w:t>万元，全部为一般公共预算拨款收入。</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一般公共预算拨款支出</w:t>
      </w:r>
      <w:r>
        <w:rPr>
          <w:rFonts w:hint="eastAsia" w:eastAsia="方正仿宋_GBK"/>
          <w:color w:val="000000"/>
          <w:sz w:val="28"/>
          <w:lang w:val="en-US" w:eastAsia="zh-CN"/>
        </w:rPr>
        <w:t>343.98</w:t>
      </w:r>
      <w:r>
        <w:rPr>
          <w:rFonts w:hint="eastAsia" w:eastAsia="方正仿宋_GBK"/>
          <w:color w:val="000000"/>
          <w:sz w:val="28"/>
        </w:rPr>
        <w:t>万元，其中，人员经费</w:t>
      </w:r>
      <w:r>
        <w:rPr>
          <w:rFonts w:hint="eastAsia" w:eastAsia="方正仿宋_GBK"/>
          <w:color w:val="000000"/>
          <w:sz w:val="28"/>
          <w:lang w:val="en-US" w:eastAsia="zh-CN"/>
        </w:rPr>
        <w:t>158.25</w:t>
      </w:r>
      <w:r>
        <w:rPr>
          <w:rFonts w:hint="eastAsia" w:eastAsia="方正仿宋_GBK"/>
          <w:color w:val="000000"/>
          <w:sz w:val="28"/>
        </w:rPr>
        <w:t>万元，按照部门预算核定及年中工资调整安排支出；日常公用经费</w:t>
      </w:r>
      <w:r>
        <w:rPr>
          <w:rFonts w:hint="eastAsia" w:eastAsia="方正仿宋_GBK"/>
          <w:color w:val="000000"/>
          <w:sz w:val="28"/>
          <w:lang w:val="en-US" w:eastAsia="zh-CN"/>
        </w:rPr>
        <w:t>77.23</w:t>
      </w:r>
      <w:r>
        <w:rPr>
          <w:rFonts w:hint="eastAsia" w:eastAsia="方正仿宋_GBK"/>
          <w:color w:val="000000"/>
          <w:sz w:val="28"/>
        </w:rPr>
        <w:t>万元，主要用于四大班子办公费、三公经费和部门办公费支出；项目支出经费108.5万元，主要根据县政协机关202</w:t>
      </w:r>
      <w:r>
        <w:rPr>
          <w:rFonts w:hint="eastAsia" w:eastAsia="方正仿宋_GBK"/>
          <w:color w:val="000000"/>
          <w:sz w:val="28"/>
          <w:lang w:val="en-US" w:eastAsia="zh-CN"/>
        </w:rPr>
        <w:t>1</w:t>
      </w:r>
      <w:r>
        <w:rPr>
          <w:rFonts w:hint="eastAsia" w:eastAsia="方正仿宋_GBK"/>
          <w:color w:val="000000"/>
          <w:sz w:val="28"/>
        </w:rPr>
        <w:t>年工作任务和目标规划，用于政协会议、委员活动、专题调研、委员培训、京津冀协同发展、《涞水政协》刊物、文史资料搜集整理及202</w:t>
      </w:r>
      <w:r>
        <w:rPr>
          <w:rFonts w:hint="eastAsia" w:eastAsia="方正仿宋_GBK"/>
          <w:color w:val="000000"/>
          <w:sz w:val="28"/>
          <w:lang w:val="en-US" w:eastAsia="zh-CN"/>
        </w:rPr>
        <w:t>1</w:t>
      </w:r>
      <w:r>
        <w:rPr>
          <w:rFonts w:hint="eastAsia" w:eastAsia="方正仿宋_GBK"/>
          <w:color w:val="000000"/>
          <w:sz w:val="28"/>
        </w:rPr>
        <w:t>年全体县政协委员的政协杂志订阅等支出。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rPr>
      </w:pPr>
      <w:r>
        <w:rPr>
          <w:rFonts w:hint="eastAsia" w:eastAsia="方正仿宋_GBK"/>
          <w:color w:val="000000"/>
          <w:sz w:val="28"/>
        </w:rPr>
        <w:t>本年度预算收支安排343.98万元，较上年增加10.39万元。其中：基本支出增加了5.89万元，主要是机关运行经费增加，原因是增加劳务派遣人员工资保险。项目支出增加4.5万元，主要是根据县政协机关2021年工作任务和目标规划，用于京津冀协同发展等项目费用减少，增加了2019年精神文明奖。</w:t>
      </w:r>
    </w:p>
    <w:p>
      <w:pPr>
        <w:spacing w:before="10" w:after="10" w:line="360" w:lineRule="auto"/>
        <w:outlineLvl w:val="2"/>
        <w:rPr>
          <w:rFonts w:hint="eastAsia" w:ascii="黑体" w:hAnsi="黑体" w:eastAsia="黑体" w:cs="黑体"/>
          <w:color w:val="000000"/>
          <w:sz w:val="32"/>
          <w:lang w:val="en-US" w:eastAsia="zh-CN"/>
        </w:rPr>
      </w:pPr>
      <w:bookmarkStart w:id="9" w:name="_Toc_3_3_0000000012"/>
      <w:r>
        <w:rPr>
          <w:rFonts w:hint="eastAsia" w:ascii="黑体" w:hAnsi="黑体" w:eastAsia="黑体" w:cs="黑体"/>
          <w:color w:val="000000"/>
          <w:sz w:val="32"/>
          <w:lang w:val="en-US" w:eastAsia="zh-CN"/>
        </w:rPr>
        <w:t xml:space="preserve"> </w:t>
      </w:r>
    </w:p>
    <w:p>
      <w:pPr>
        <w:spacing w:before="10" w:after="10" w:line="360" w:lineRule="auto"/>
        <w:outlineLvl w:val="2"/>
        <w:rPr>
          <w:rFonts w:hint="eastAsia" w:ascii="黑体" w:hAnsi="黑体" w:eastAsia="黑体" w:cs="黑体"/>
          <w:color w:val="000000"/>
          <w:sz w:val="32"/>
          <w:lang w:val="en-US" w:eastAsia="zh-CN"/>
        </w:rPr>
      </w:pPr>
    </w:p>
    <w:p>
      <w:pPr>
        <w:spacing w:before="10" w:after="10" w:line="360" w:lineRule="auto"/>
        <w:outlineLvl w:val="2"/>
        <w:rPr>
          <w:rFonts w:hint="eastAsia" w:ascii="黑体" w:hAnsi="黑体" w:eastAsia="黑体" w:cs="黑体"/>
          <w:color w:val="000000"/>
          <w:sz w:val="32"/>
          <w:lang w:val="en-US" w:eastAsia="zh-CN"/>
        </w:rPr>
      </w:pPr>
    </w:p>
    <w:p>
      <w:pPr>
        <w:spacing w:before="10" w:after="10" w:line="360" w:lineRule="auto"/>
        <w:outlineLvl w:val="2"/>
        <w:rPr>
          <w:rFonts w:hint="eastAsia" w:ascii="黑体" w:hAnsi="黑体" w:eastAsia="黑体" w:cs="黑体"/>
          <w:color w:val="000000"/>
          <w:sz w:val="32"/>
          <w:lang w:val="en-US" w:eastAsia="zh-CN"/>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机关运行经费安排情况</w:t>
      </w:r>
      <w:bookmarkEnd w:id="9"/>
    </w:p>
    <w:p>
      <w:pPr>
        <w:spacing w:line="520" w:lineRule="exact"/>
        <w:ind w:firstLine="480" w:firstLineChars="200"/>
        <w:rPr>
          <w:rFonts w:hint="eastAsia" w:eastAsia="方正仿宋_GBK"/>
          <w:color w:val="000000"/>
          <w:sz w:val="28"/>
        </w:rPr>
      </w:pPr>
      <w:r>
        <w:rPr>
          <w:rFonts w:hint="eastAsia"/>
          <w:lang w:val="en-US" w:eastAsia="zh-CN"/>
        </w:rPr>
        <w:t xml:space="preserve">         </w:t>
      </w:r>
      <w:r>
        <w:rPr>
          <w:rFonts w:hint="eastAsia" w:eastAsia="方正仿宋_GBK"/>
          <w:color w:val="000000"/>
          <w:sz w:val="28"/>
          <w:lang w:val="en-US" w:eastAsia="zh-CN"/>
        </w:rPr>
        <w:t xml:space="preserve">   </w:t>
      </w:r>
      <w:r>
        <w:rPr>
          <w:rFonts w:hint="eastAsia" w:eastAsia="方正仿宋_GBK"/>
          <w:color w:val="000000"/>
          <w:sz w:val="28"/>
        </w:rPr>
        <w:t>2021年度，县政协机关运行支出77.23万元，其中四大班子领导办公费15万元，邮电费0.36万元，办公费25.52万元，差旅费1.6万元，公务用车运行维护费7.5万元，公务接待费5万元，劳务费5.59万元，公务交通补贴12.23万元，退休人员公用经费：0.36万元，工会经费1.31万元，职工福利费2.76万元。</w:t>
      </w:r>
    </w:p>
    <w:p>
      <w:pPr>
        <w:spacing w:line="500" w:lineRule="exact"/>
        <w:rPr>
          <w:rFonts w:hint="default" w:eastAsia="宋体"/>
          <w:lang w:val="en-US" w:eastAsia="zh-CN"/>
        </w:rPr>
      </w:pPr>
    </w:p>
    <w:p>
      <w:pPr>
        <w:numPr>
          <w:ilvl w:val="0"/>
          <w:numId w:val="2"/>
        </w:numPr>
        <w:spacing w:before="10" w:after="10" w:line="360" w:lineRule="auto"/>
        <w:ind w:firstLine="640"/>
        <w:outlineLvl w:val="2"/>
        <w:rPr>
          <w:rFonts w:ascii="黑体" w:hAnsi="黑体" w:eastAsia="黑体" w:cs="黑体"/>
          <w:color w:val="000000"/>
          <w:sz w:val="32"/>
        </w:rPr>
      </w:pPr>
      <w:bookmarkStart w:id="10" w:name="_Toc_3_3_0000000013"/>
      <w:r>
        <w:rPr>
          <w:rFonts w:ascii="黑体" w:hAnsi="黑体" w:eastAsia="黑体" w:cs="黑体"/>
          <w:color w:val="000000"/>
          <w:sz w:val="32"/>
        </w:rPr>
        <w:t>财政拨款“三公”经费预算情况及增减变化原因</w:t>
      </w:r>
      <w:bookmarkEnd w:id="10"/>
    </w:p>
    <w:p>
      <w:pPr>
        <w:spacing w:line="520" w:lineRule="exact"/>
        <w:ind w:firstLine="560" w:firstLineChars="200"/>
        <w:rPr>
          <w:rFonts w:hint="eastAsia" w:eastAsia="方正仿宋_GBK"/>
          <w:color w:val="000000"/>
          <w:sz w:val="28"/>
        </w:rPr>
      </w:pPr>
      <w:r>
        <w:rPr>
          <w:rFonts w:hint="eastAsia" w:eastAsia="方正仿宋_GBK"/>
          <w:color w:val="000000"/>
          <w:sz w:val="28"/>
          <w:lang w:eastAsia="zh-CN"/>
        </w:rPr>
        <w:t xml:space="preserve"> </w:t>
      </w:r>
      <w:r>
        <w:rPr>
          <w:rFonts w:hint="eastAsia" w:eastAsia="方正仿宋_GBK"/>
          <w:color w:val="000000"/>
          <w:sz w:val="28"/>
        </w:rPr>
        <w:t>2021年本部门“三公”经费预算数12.5万元，其中：公务接待费5万元，预计接待15批次，280人次；公务用车运行维护费7.5万元；无公务用车购置费和因公出国（境）费。</w:t>
      </w:r>
    </w:p>
    <w:p>
      <w:pPr>
        <w:spacing w:line="520" w:lineRule="exact"/>
        <w:ind w:firstLine="560" w:firstLineChars="200"/>
        <w:rPr>
          <w:rFonts w:hint="eastAsia" w:eastAsia="方正仿宋_GBK"/>
          <w:color w:val="000000"/>
          <w:sz w:val="28"/>
        </w:rPr>
      </w:pPr>
      <w:r>
        <w:rPr>
          <w:rFonts w:hint="eastAsia" w:eastAsia="方正仿宋_GBK"/>
          <w:color w:val="000000"/>
          <w:sz w:val="28"/>
        </w:rPr>
        <w:t>会议费39.5万元，用于召开九届四次全会、常委（扩大）会、主席办公会、专题协商议政会、小组座谈会、调研座谈会等，预计召开20次,900人。培训费19.00万元，用于全体委员、乡镇统战联络组长及机关工作人员培训会，预计10次，400人。</w:t>
      </w:r>
    </w:p>
    <w:p>
      <w:pPr>
        <w:spacing w:line="520" w:lineRule="exact"/>
        <w:ind w:firstLine="560" w:firstLineChars="200"/>
        <w:rPr>
          <w:rFonts w:hint="eastAsia" w:eastAsia="方正仿宋_GBK"/>
          <w:color w:val="000000"/>
          <w:sz w:val="28"/>
        </w:rPr>
      </w:pPr>
      <w:r>
        <w:rPr>
          <w:rFonts w:hint="eastAsia" w:eastAsia="方正仿宋_GBK"/>
          <w:color w:val="000000"/>
          <w:sz w:val="28"/>
        </w:rPr>
        <w:t>2020年本部门“三公”经费预算数12.5万元，其中：公务接待费5万元；公务用车运行维护费7.5万元；无公务用车购置费和因公出国（境）费。</w:t>
      </w:r>
    </w:p>
    <w:p>
      <w:pPr>
        <w:spacing w:line="520" w:lineRule="exact"/>
        <w:ind w:firstLine="560" w:firstLineChars="200"/>
        <w:rPr>
          <w:rFonts w:hint="eastAsia" w:ascii="仿宋" w:hAnsi="仿宋" w:eastAsia="仿宋" w:cs="仿宋"/>
          <w:sz w:val="32"/>
          <w:szCs w:val="32"/>
        </w:rPr>
      </w:pPr>
      <w:r>
        <w:rPr>
          <w:rFonts w:hint="eastAsia" w:eastAsia="方正仿宋_GBK"/>
          <w:color w:val="000000"/>
          <w:sz w:val="28"/>
        </w:rPr>
        <w:t>公务接待费、公务用车购置经费和因公出国（境）费均与上年持平。无增减变化。</w:t>
      </w:r>
    </w:p>
    <w:p>
      <w:pPr>
        <w:spacing w:line="500" w:lineRule="exact"/>
        <w:ind w:firstLine="560"/>
        <w:rPr>
          <w:rFonts w:eastAsia="方正仿宋_GBK"/>
          <w:color w:val="000000"/>
          <w:sz w:val="28"/>
        </w:rPr>
      </w:pPr>
    </w:p>
    <w:p>
      <w:pPr>
        <w:spacing w:line="500" w:lineRule="exact"/>
        <w:ind w:firstLine="560"/>
        <w:rPr>
          <w:rFonts w:eastAsia="方正仿宋_GBK"/>
          <w:color w:val="000000"/>
          <w:sz w:val="28"/>
          <w:lang w:eastAsia="zh-CN"/>
        </w:rPr>
      </w:pPr>
      <w:r>
        <w:rPr>
          <w:rFonts w:hint="eastAsia" w:ascii="黑体" w:hAnsi="黑体" w:eastAsia="黑体" w:cs="黑体"/>
          <w:color w:val="000000"/>
          <w:sz w:val="32"/>
          <w:lang w:eastAsia="zh-CN"/>
        </w:rPr>
        <w:t xml:space="preserve"> </w:t>
      </w:r>
    </w:p>
    <w:tbl>
      <w:tblPr>
        <w:tblStyle w:val="8"/>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19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91"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3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6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6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51"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0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委员杂志订阅经</w:t>
      </w:r>
      <w:r>
        <w:rPr>
          <w:rFonts w:ascii="方正仿宋_GBK" w:hAnsi="方正仿宋_GBK" w:eastAsia="方正仿宋_GBK" w:cs="方正仿宋_GBK"/>
          <w:b/>
          <w:color w:val="000000"/>
          <w:sz w:val="28"/>
        </w:rPr>
        <w:t>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1.提高委员的政协意识，找准履职目标方向。</w:t>
            </w:r>
          </w:p>
          <w:p>
            <w:pPr>
              <w:pStyle w:val="17"/>
            </w:pPr>
            <w:r>
              <w:rPr>
                <w:rFonts w:hint="eastAsia"/>
              </w:rPr>
              <w:t>2.提升委员知情明政的视野，发挥委员主体作用。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rPr>
                <w:rFonts w:hint="eastAsia"/>
              </w:rPr>
              <w:t>订阅量</w:t>
            </w:r>
          </w:p>
        </w:tc>
        <w:tc>
          <w:tcPr>
            <w:tcW w:w="2835" w:type="dxa"/>
            <w:vAlign w:val="center"/>
          </w:tcPr>
          <w:p>
            <w:pPr>
              <w:pStyle w:val="17"/>
            </w:pPr>
            <w:r>
              <w:rPr>
                <w:rFonts w:hint="eastAsia"/>
              </w:rPr>
              <w:t>订阅份数</w:t>
            </w:r>
          </w:p>
        </w:tc>
        <w:tc>
          <w:tcPr>
            <w:tcW w:w="2551" w:type="dxa"/>
            <w:vAlign w:val="center"/>
          </w:tcPr>
          <w:p>
            <w:pPr>
              <w:pStyle w:val="17"/>
            </w:pPr>
            <w:r>
              <w:rPr>
                <w:rFonts w:hint="eastAsia"/>
              </w:rPr>
              <w:t>≥200本</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rPr>
                <w:rFonts w:hint="eastAsia"/>
              </w:rPr>
              <w:t>委员阅读率</w:t>
            </w:r>
          </w:p>
        </w:tc>
        <w:tc>
          <w:tcPr>
            <w:tcW w:w="2835" w:type="dxa"/>
            <w:vAlign w:val="center"/>
          </w:tcPr>
          <w:p>
            <w:pPr>
              <w:pStyle w:val="17"/>
            </w:pPr>
            <w:r>
              <w:rPr>
                <w:rFonts w:hint="eastAsia"/>
              </w:rPr>
              <w:t>委员阅读人数占总人数的比例</w:t>
            </w:r>
          </w:p>
        </w:tc>
        <w:tc>
          <w:tcPr>
            <w:tcW w:w="2551" w:type="dxa"/>
            <w:vAlign w:val="center"/>
          </w:tcPr>
          <w:p>
            <w:pPr>
              <w:pStyle w:val="17"/>
            </w:pPr>
            <w:r>
              <w:rPr>
                <w:rFonts w:hint="eastAsia"/>
              </w:rPr>
              <w:t>≥90百分比</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rPr>
                <w:rFonts w:hint="eastAsia"/>
              </w:rPr>
              <w:t>资金支出情况</w:t>
            </w:r>
          </w:p>
        </w:tc>
        <w:tc>
          <w:tcPr>
            <w:tcW w:w="2835" w:type="dxa"/>
            <w:vAlign w:val="center"/>
          </w:tcPr>
          <w:p>
            <w:pPr>
              <w:pStyle w:val="17"/>
            </w:pPr>
            <w:r>
              <w:rPr>
                <w:rFonts w:hint="eastAsia"/>
              </w:rPr>
              <w:t>资金支出情况</w:t>
            </w:r>
          </w:p>
        </w:tc>
        <w:tc>
          <w:tcPr>
            <w:tcW w:w="2551" w:type="dxa"/>
            <w:vAlign w:val="center"/>
          </w:tcPr>
          <w:p>
            <w:pPr>
              <w:pStyle w:val="17"/>
            </w:pPr>
            <w:r>
              <w:rPr>
                <w:rFonts w:hint="eastAsia"/>
              </w:rPr>
              <w:t>资金及时支出</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rPr>
                <w:rFonts w:hint="eastAsia"/>
              </w:rPr>
              <w:t>工作按时完成率</w:t>
            </w:r>
          </w:p>
        </w:tc>
        <w:tc>
          <w:tcPr>
            <w:tcW w:w="2835" w:type="dxa"/>
            <w:vAlign w:val="center"/>
          </w:tcPr>
          <w:p>
            <w:pPr>
              <w:pStyle w:val="17"/>
            </w:pPr>
            <w:r>
              <w:rPr>
                <w:rFonts w:hint="eastAsia"/>
              </w:rPr>
              <w:t>工作按时完成率</w:t>
            </w:r>
          </w:p>
        </w:tc>
        <w:tc>
          <w:tcPr>
            <w:tcW w:w="2551" w:type="dxa"/>
            <w:vAlign w:val="center"/>
          </w:tcPr>
          <w:p>
            <w:pPr>
              <w:pStyle w:val="17"/>
            </w:pPr>
            <w:r>
              <w:rPr>
                <w:rFonts w:hint="eastAsia"/>
              </w:rPr>
              <w:t>完成订阅任务</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杂志续订率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续订杂志的人数占总人数的比率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type w:val="continuous"/>
          <w:pgSz w:w="16840" w:h="11900" w:orient="landscape"/>
          <w:pgMar w:top="1361" w:right="1020" w:bottom="1134" w:left="1020" w:header="720" w:footer="720" w:gutter="0"/>
          <w:cols w:space="720" w:num="1"/>
        </w:sectPr>
      </w:pPr>
    </w:p>
    <w:p>
      <w:pPr>
        <w:spacing w:line="520" w:lineRule="exact"/>
        <w:ind w:firstLine="560" w:firstLineChars="200"/>
        <w:outlineLvl w:val="3"/>
        <w:rPr>
          <w:rFonts w:ascii="仿宋" w:hAnsi="仿宋" w:eastAsia="仿宋" w:cs="仿宋"/>
          <w:b/>
          <w:sz w:val="32"/>
          <w:szCs w:val="32"/>
        </w:rPr>
      </w:pPr>
      <w:r>
        <w:rPr>
          <w:rFonts w:ascii="方正仿宋_GBK" w:hAnsi="方正仿宋_GBK" w:eastAsia="方正仿宋_GBK" w:cs="方正仿宋_GBK"/>
          <w:b/>
          <w:color w:val="000000"/>
          <w:sz w:val="28"/>
        </w:rPr>
        <w:t>2、</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政协委员之家</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维护管理经费绩效目标表</w:t>
      </w:r>
      <w:r>
        <w:rPr>
          <w:rFonts w:hint="eastAsia" w:eastAsia="Times New Roman"/>
        </w:rPr>
        <w:fldChar w:fldCharType="begin"/>
      </w:r>
      <w:r>
        <w:rPr>
          <w:rFonts w:hint="eastAsia" w:ascii="仿宋" w:hAnsi="仿宋" w:eastAsia="仿宋" w:cs="仿宋"/>
          <w:b/>
          <w:sz w:val="32"/>
          <w:szCs w:val="32"/>
        </w:rPr>
        <w:instrText xml:space="preserve"> TC 2、\“政协委员之家\”维护管理经费绩效目标表 \f C \l 1 </w:instrText>
      </w:r>
      <w:r>
        <w:rPr>
          <w:rFonts w:hint="eastAsia" w:ascii="仿宋" w:hAnsi="仿宋" w:eastAsia="仿宋" w:cs="仿宋"/>
          <w:b/>
          <w:sz w:val="32"/>
          <w:szCs w:val="32"/>
        </w:rPr>
        <w:fldChar w:fldCharType="end"/>
      </w:r>
    </w:p>
    <w:p>
      <w:pPr>
        <w:ind w:firstLine="560"/>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1.推动政协工作深入开展，提升县级政协工作水平。</w:t>
            </w:r>
          </w:p>
          <w:p>
            <w:pPr>
              <w:pStyle w:val="17"/>
            </w:pPr>
            <w:r>
              <w:rPr>
                <w:rFonts w:hint="eastAsia"/>
              </w:rPr>
              <w:t>2.加强政协党建工作，推进政协党建工作水平提升。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参加活动占活动总量的比例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不超预算数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参政议政工作明显提高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政协委员培训经费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1.提升委员履职水平，促进政协工作提升创新。</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2.更好的为县委、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政府建言献策，推动县域政治、经济、社会全面提高发展。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委员学习培训率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年度内委员学习培训量占计划量的比例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培训计划按期完成率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按期完成的培训计划占总计划的比例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按标准支出培训费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委员培训合格率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培训中考核合格的委员数量占总受训委员人数的比例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政协全会经费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1.对县委、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政府的重大决策部署进行参政议政。</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2.提出有建设性的意见建议，为县委、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政府决策提供依据。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会议筹备及会务工作的完成率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已完成的会议筹备及会务工作量占计划量的比例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按标准支出会议费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可持续影响指标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会议研究成果比率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得以应用的会议研究成果</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京津冀协同发展经费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京津冀协同发展活动参与比例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财政及时拨款</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专题调研考察经费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支出完成率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按时有序支付</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重点课题和专项调研完成率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年度内已完成的重点课题和专项调研数量占计划量的比例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重点工作视察率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年度内已完成重点工作视察数量占计划量的比例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政协常委（扩大 ）会议经费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会议筹备及会务工作的完成率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已完成的会议筹备及会务工作量占计划量的比例</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资金支付及时性</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资金支付的及时程度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资金及时支出</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按标准支出会议费</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会议研究成果比率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得以应用的会议研究成果</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会议研究成果显著</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文史资料搜集整理经费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按时完成书籍出版任务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监督工作任务完成率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年度监督工作完成情况占监督工作任务的比例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政协委员参与活动比率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参与活动的委员数占委员总数的比例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京津冀协同发展</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1.广泛凝聚社会正能量，为宣传公平、正义、团结、和谐的氛围提供平台。</w:t>
            </w:r>
          </w:p>
          <w:p>
            <w:pPr>
              <w:spacing w:line="52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2.增强委员的主动性，提高委员参政议政的平台和空间。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每期不低于500册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按季度完成工作任务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≥90委员满意度</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2"/>
      </w:pPr>
      <w:bookmarkStart w:id="11" w:name="_Toc_3_3_0000000015"/>
      <w:r>
        <w:rPr>
          <w:rFonts w:ascii="黑体" w:hAnsi="黑体" w:eastAsia="黑体" w:cs="黑体"/>
          <w:color w:val="000000"/>
          <w:sz w:val="32"/>
        </w:rPr>
        <w:t>六、政府采购预算情况</w:t>
      </w:r>
      <w:bookmarkEnd w:id="11"/>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我单位无</w:t>
      </w:r>
      <w:r>
        <w:rPr>
          <w:rFonts w:eastAsia="方正仿宋_GBK"/>
          <w:color w:val="000000"/>
          <w:sz w:val="28"/>
        </w:rPr>
        <w:t>安排政府采购预算</w:t>
      </w:r>
      <w:r>
        <w:rPr>
          <w:rFonts w:hint="eastAsia" w:eastAsia="方正仿宋_GBK"/>
          <w:color w:val="000000"/>
          <w:sz w:val="28"/>
          <w:lang w:eastAsia="zh-CN"/>
        </w:rPr>
        <w:t>项目</w:t>
      </w:r>
      <w:r>
        <w:rPr>
          <w:rFonts w:eastAsia="方正仿宋_GBK"/>
          <w:color w:val="000000"/>
          <w:sz w:val="28"/>
        </w:rPr>
        <w:t>。具体内容见下表。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131001涞水县中国人民政治协商会议河北省涞水县委员会（本级）</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jc w:val="left"/>
              <w:rPr>
                <w:lang w:eastAsia="zh-CN"/>
              </w:rPr>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rPr>
                <w:lang w:eastAsia="zh-CN"/>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lang w:eastAsia="zh-CN"/>
              </w:rPr>
            </w:pPr>
          </w:p>
          <w:p>
            <w:pPr>
              <w:pStyle w:val="17"/>
            </w:pPr>
          </w:p>
        </w:tc>
        <w:tc>
          <w:tcPr>
            <w:tcW w:w="964" w:type="dxa"/>
            <w:vAlign w:val="center"/>
          </w:tcPr>
          <w:p>
            <w:pPr>
              <w:pStyle w:val="16"/>
              <w:rPr>
                <w:lang w:eastAsia="zh-CN"/>
              </w:rPr>
            </w:pPr>
          </w:p>
        </w:tc>
        <w:tc>
          <w:tcPr>
            <w:tcW w:w="1134" w:type="dxa"/>
            <w:vAlign w:val="center"/>
          </w:tcPr>
          <w:p>
            <w:pPr>
              <w:pStyle w:val="17"/>
              <w:rPr>
                <w:lang w:eastAsia="zh-CN"/>
              </w:rPr>
            </w:pPr>
          </w:p>
        </w:tc>
        <w:tc>
          <w:tcPr>
            <w:tcW w:w="1134" w:type="dxa"/>
            <w:vAlign w:val="center"/>
          </w:tcPr>
          <w:p>
            <w:pPr>
              <w:pStyle w:val="17"/>
              <w:rPr>
                <w:lang w:eastAsia="zh-CN"/>
              </w:rPr>
            </w:pPr>
          </w:p>
        </w:tc>
        <w:tc>
          <w:tcPr>
            <w:tcW w:w="709" w:type="dxa"/>
            <w:vAlign w:val="center"/>
          </w:tcPr>
          <w:p>
            <w:pPr>
              <w:pStyle w:val="18"/>
              <w:jc w:val="left"/>
              <w:rPr>
                <w:lang w:eastAsia="zh-CN"/>
              </w:rPr>
            </w:pPr>
          </w:p>
        </w:tc>
        <w:tc>
          <w:tcPr>
            <w:tcW w:w="850" w:type="dxa"/>
            <w:vAlign w:val="center"/>
          </w:tcPr>
          <w:p>
            <w:pPr>
              <w:pStyle w:val="16"/>
              <w:rPr>
                <w:lang w:eastAsia="zh-CN"/>
              </w:rPr>
            </w:pPr>
          </w:p>
        </w:tc>
        <w:tc>
          <w:tcPr>
            <w:tcW w:w="850" w:type="dxa"/>
            <w:vAlign w:val="center"/>
          </w:tcPr>
          <w:p>
            <w:pPr>
              <w:pStyle w:val="16"/>
              <w:rPr>
                <w:lang w:eastAsia="zh-CN"/>
              </w:rPr>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ind w:right="420"/>
              <w:jc w:val="left"/>
              <w:rPr>
                <w:lang w:eastAsia="zh-CN"/>
              </w:rPr>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2"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2"/>
    </w:p>
    <w:p>
      <w:pPr>
        <w:spacing w:line="500" w:lineRule="exact"/>
        <w:ind w:firstLine="560"/>
        <w:rPr>
          <w:rFonts w:hint="eastAsia" w:eastAsia="方正仿宋_GBK"/>
          <w:color w:val="000000"/>
          <w:sz w:val="28"/>
        </w:rPr>
      </w:pPr>
      <w:r>
        <w:rPr>
          <w:rFonts w:hint="eastAsia" w:eastAsia="方正仿宋_GBK"/>
          <w:color w:val="000000"/>
          <w:sz w:val="28"/>
        </w:rPr>
        <w:t>2020年末固定资产总额82.47万元，无办公用房，统一在县委楼办公，车辆3部，共计26.96万元，其他固定资产55.51万元，包括办公家具、计算机、空调、打印机等。202</w:t>
      </w:r>
      <w:r>
        <w:rPr>
          <w:rFonts w:hint="eastAsia" w:eastAsia="方正仿宋_GBK"/>
          <w:color w:val="000000"/>
          <w:sz w:val="28"/>
          <w:lang w:val="en-US" w:eastAsia="zh-CN"/>
        </w:rPr>
        <w:t>1</w:t>
      </w:r>
      <w:r>
        <w:rPr>
          <w:rFonts w:hint="eastAsia" w:eastAsia="方正仿宋_GBK"/>
          <w:color w:val="000000"/>
          <w:sz w:val="28"/>
        </w:rPr>
        <w:t>年拟购置固定资产10万元，主要为计算机、打印机及其他部分办公设备。</w:t>
      </w:r>
    </w:p>
    <w:p>
      <w:pPr>
        <w:spacing w:line="500" w:lineRule="exact"/>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131001涞水县中国人民政治协商会议河北省涞水县委员会（本级）</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637"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rPr>
                <w:rFonts w:hint="eastAsia"/>
              </w:rPr>
            </w:pPr>
            <w:r>
              <w:rPr>
                <w:rFonts w:hint="eastAsi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Calibri" w:hAnsi="Calibri" w:cs="宋体" w:eastAsiaTheme="minorEastAsia"/>
                <w:kern w:val="2"/>
                <w:sz w:val="21"/>
                <w:szCs w:val="21"/>
                <w:lang w:val="en-US" w:eastAsia="zh-CN"/>
              </w:rPr>
            </w:pPr>
            <w:r>
              <w:rPr>
                <w:rFonts w:hint="eastAsia" w:ascii="Calibri" w:hAnsi="Calibri" w:cs="宋体" w:eastAsiaTheme="minorEastAsia"/>
                <w:kern w:val="2"/>
                <w:sz w:val="21"/>
                <w:szCs w:val="21"/>
                <w:lang w:eastAsia="zh-CN"/>
              </w:rPr>
              <w:t>8</w:t>
            </w:r>
            <w:r>
              <w:rPr>
                <w:rFonts w:hint="eastAsia" w:ascii="Calibri" w:hAnsi="Calibri" w:cs="宋体" w:eastAsiaTheme="minorEastAsia"/>
                <w:kern w:val="2"/>
                <w:sz w:val="21"/>
                <w:szCs w:val="21"/>
                <w:lang w:val="en-US" w:eastAsia="zh-CN"/>
              </w:rPr>
              <w:t>2.47</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textAlignment w:val="center"/>
              <w:rPr>
                <w:rFonts w:hint="eastAsia"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eastAsiaTheme="minorEastAsia"/>
                <w:color w:val="000000"/>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eastAsia="zh-CN"/>
              </w:rPr>
              <w:t>26.9</w:t>
            </w:r>
            <w:r>
              <w:rPr>
                <w:rFonts w:hint="eastAsia" w:ascii="宋体" w:hAnsi="宋体" w:eastAsiaTheme="minorEastAsia"/>
                <w:color w:val="000000"/>
                <w:sz w:val="21"/>
                <w:szCs w:val="21"/>
                <w:lang w:val="en-US" w:eastAsia="zh-CN"/>
              </w:rPr>
              <w:t>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 xml:space="preserve">  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default" w:ascii="宋体" w:hAnsi="宋体" w:cs="宋体"/>
                <w:kern w:val="2"/>
                <w:sz w:val="21"/>
                <w:szCs w:val="21"/>
                <w:lang w:val="en-US" w:eastAsia="zh-CN"/>
              </w:rPr>
            </w:pPr>
            <w:r>
              <w:rPr>
                <w:rFonts w:hint="eastAsia" w:ascii="宋体" w:hAnsi="宋体" w:cs="宋体"/>
                <w:kern w:val="2"/>
                <w:sz w:val="21"/>
                <w:szCs w:val="21"/>
                <w:lang w:eastAsia="zh-CN"/>
              </w:rPr>
              <w:t>5</w:t>
            </w:r>
            <w:r>
              <w:rPr>
                <w:rFonts w:hint="eastAsia" w:ascii="宋体" w:hAnsi="宋体" w:cs="宋体"/>
                <w:kern w:val="2"/>
                <w:sz w:val="21"/>
                <w:szCs w:val="21"/>
                <w:lang w:val="en-US" w:eastAsia="zh-CN"/>
              </w:rPr>
              <w:t>5.51</w:t>
            </w:r>
          </w:p>
        </w:tc>
      </w:tr>
    </w:tbl>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w:t>
      </w:r>
      <w:r>
        <w:rPr>
          <w:rFonts w:hint="eastAsia" w:eastAsia="方正仿宋_GBK"/>
          <w:color w:val="000000"/>
          <w:sz w:val="28"/>
          <w:lang w:eastAsia="zh-CN"/>
        </w:rPr>
        <w:t>的事项。</w:t>
      </w:r>
    </w:p>
    <w:p>
      <w:pPr>
        <w:spacing w:line="20" w:lineRule="exact"/>
        <w:outlineLvl w:val="3"/>
        <w:rPr>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tab w:relativeTo="margin" w:alignment="center" w:leader="none"/>
    </w: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30</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C05A21"/>
    <w:multiLevelType w:val="singleLevel"/>
    <w:tmpl w:val="D5C05A21"/>
    <w:lvl w:ilvl="0" w:tentative="0">
      <w:start w:val="3"/>
      <w:numFmt w:val="chineseCounting"/>
      <w:suff w:val="nothing"/>
      <w:lvlText w:val="%1、"/>
      <w:lvlJc w:val="left"/>
      <w:rPr>
        <w:rFonts w:hint="eastAsia"/>
      </w:rPr>
    </w:lvl>
  </w:abstractNum>
  <w:abstractNum w:abstractNumId="1">
    <w:nsid w:val="6A7AD056"/>
    <w:multiLevelType w:val="singleLevel"/>
    <w:tmpl w:val="6A7AD05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jdmOTMzYTMxZGQ5MTVmMjQ2Nzg2ZDc3Y2QxMjQwZTgifQ=="/>
  </w:docVars>
  <w:rsids>
    <w:rsidRoot w:val="00781D3A"/>
    <w:rsid w:val="00064159"/>
    <w:rsid w:val="00084B21"/>
    <w:rsid w:val="00120163"/>
    <w:rsid w:val="00182D82"/>
    <w:rsid w:val="001B15F6"/>
    <w:rsid w:val="00201266"/>
    <w:rsid w:val="002A61F7"/>
    <w:rsid w:val="003556CB"/>
    <w:rsid w:val="00557C8E"/>
    <w:rsid w:val="0056582C"/>
    <w:rsid w:val="0059478A"/>
    <w:rsid w:val="005A16E6"/>
    <w:rsid w:val="005A16ED"/>
    <w:rsid w:val="005C7741"/>
    <w:rsid w:val="00664099"/>
    <w:rsid w:val="0068454C"/>
    <w:rsid w:val="00714A9B"/>
    <w:rsid w:val="007304F6"/>
    <w:rsid w:val="00781D3A"/>
    <w:rsid w:val="00791CF2"/>
    <w:rsid w:val="008D0F2A"/>
    <w:rsid w:val="008F1C73"/>
    <w:rsid w:val="0091522A"/>
    <w:rsid w:val="00966113"/>
    <w:rsid w:val="0098765C"/>
    <w:rsid w:val="00AB059E"/>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3F84D6E"/>
    <w:rsid w:val="052B4646"/>
    <w:rsid w:val="09E461D2"/>
    <w:rsid w:val="0FDD12D3"/>
    <w:rsid w:val="0FEB623C"/>
    <w:rsid w:val="139F5206"/>
    <w:rsid w:val="158F5031"/>
    <w:rsid w:val="1AF24BE0"/>
    <w:rsid w:val="1D5F5A06"/>
    <w:rsid w:val="1F9050D7"/>
    <w:rsid w:val="22090B6C"/>
    <w:rsid w:val="22CF7A38"/>
    <w:rsid w:val="24DE7700"/>
    <w:rsid w:val="271518F6"/>
    <w:rsid w:val="29AC1FD3"/>
    <w:rsid w:val="2A046294"/>
    <w:rsid w:val="2B0B2850"/>
    <w:rsid w:val="2D367268"/>
    <w:rsid w:val="37CA427B"/>
    <w:rsid w:val="391B70EA"/>
    <w:rsid w:val="3A4B0C5C"/>
    <w:rsid w:val="3B8F458E"/>
    <w:rsid w:val="3CF9496A"/>
    <w:rsid w:val="3D5159E5"/>
    <w:rsid w:val="3F033BBB"/>
    <w:rsid w:val="405E4796"/>
    <w:rsid w:val="45386CE0"/>
    <w:rsid w:val="46EB4DC3"/>
    <w:rsid w:val="48390A7E"/>
    <w:rsid w:val="49EF3AEA"/>
    <w:rsid w:val="4DAF194D"/>
    <w:rsid w:val="4E014035"/>
    <w:rsid w:val="562A7E7A"/>
    <w:rsid w:val="58165ABF"/>
    <w:rsid w:val="5DBD59FC"/>
    <w:rsid w:val="5DF41503"/>
    <w:rsid w:val="60B7162C"/>
    <w:rsid w:val="62040CE1"/>
    <w:rsid w:val="66632B83"/>
    <w:rsid w:val="725400DF"/>
    <w:rsid w:val="7292705A"/>
    <w:rsid w:val="74745854"/>
    <w:rsid w:val="76EE0B02"/>
    <w:rsid w:val="77114314"/>
    <w:rsid w:val="786A4094"/>
    <w:rsid w:val="791E20EB"/>
    <w:rsid w:val="79C254A1"/>
    <w:rsid w:val="79D7762B"/>
    <w:rsid w:val="7BEF12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9150</Words>
  <Characters>10536</Characters>
  <Lines>92</Lines>
  <Paragraphs>26</Paragraphs>
  <TotalTime>76</TotalTime>
  <ScaleCrop>false</ScaleCrop>
  <LinksUpToDate>false</LinksUpToDate>
  <CharactersWithSpaces>10958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2023-12-29T07:27:28Z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