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27" w:rsidRPr="001D6C04" w:rsidRDefault="008679F8" w:rsidP="001D6C04">
      <w:pPr>
        <w:shd w:val="clear" w:color="auto" w:fill="FFFFFF"/>
        <w:adjustRightInd/>
        <w:snapToGrid/>
        <w:spacing w:after="0" w:line="560" w:lineRule="exact"/>
        <w:ind w:firstLineChars="1000" w:firstLine="3680"/>
        <w:rPr>
          <w:rFonts w:ascii="方正小标宋简体" w:eastAsia="方正小标宋简体" w:hAnsi="宋体" w:cs="宋体" w:hint="eastAsia"/>
          <w:bCs/>
          <w:color w:val="333333"/>
          <w:spacing w:val="8"/>
          <w:sz w:val="36"/>
          <w:szCs w:val="36"/>
        </w:rPr>
      </w:pPr>
      <w:r w:rsidRPr="001D6C04">
        <w:rPr>
          <w:rFonts w:ascii="方正小标宋简体" w:eastAsia="方正小标宋简体" w:hAnsi="宋体" w:cs="宋体" w:hint="eastAsia"/>
          <w:bCs/>
          <w:color w:val="333333"/>
          <w:spacing w:val="8"/>
          <w:sz w:val="36"/>
          <w:szCs w:val="36"/>
        </w:rPr>
        <w:t>涞水县</w:t>
      </w:r>
      <w:r w:rsidR="008742E9" w:rsidRPr="001D6C04">
        <w:rPr>
          <w:rFonts w:ascii="方正小标宋简体" w:eastAsia="方正小标宋简体" w:hAnsi="宋体" w:cs="宋体" w:hint="eastAsia"/>
          <w:bCs/>
          <w:color w:val="333333"/>
          <w:spacing w:val="8"/>
          <w:sz w:val="36"/>
          <w:szCs w:val="36"/>
        </w:rPr>
        <w:t>医疗保障局行政处罚裁量基准</w:t>
      </w:r>
    </w:p>
    <w:p w:rsidR="001D6C04" w:rsidRDefault="001D6C04" w:rsidP="00B67A77">
      <w:pPr>
        <w:shd w:val="clear" w:color="auto" w:fill="FFFFFF"/>
        <w:tabs>
          <w:tab w:val="left" w:pos="13608"/>
          <w:tab w:val="left" w:pos="13750"/>
        </w:tabs>
        <w:adjustRightInd/>
        <w:snapToGrid/>
        <w:spacing w:after="0" w:line="480" w:lineRule="auto"/>
        <w:ind w:firstLineChars="2344" w:firstLine="5110"/>
        <w:rPr>
          <w:rFonts w:ascii="仿宋_GB2312" w:eastAsia="仿宋_GB2312" w:hAnsi="宋体" w:cs="宋体" w:hint="eastAsia"/>
          <w:bCs/>
          <w:color w:val="333333"/>
          <w:spacing w:val="8"/>
          <w:sz w:val="21"/>
          <w:szCs w:val="21"/>
        </w:rPr>
      </w:pPr>
    </w:p>
    <w:p w:rsidR="00C20333" w:rsidRPr="001D6C04" w:rsidRDefault="00C20333" w:rsidP="00B67A77">
      <w:pPr>
        <w:shd w:val="clear" w:color="auto" w:fill="FFFFFF"/>
        <w:tabs>
          <w:tab w:val="left" w:pos="13608"/>
          <w:tab w:val="left" w:pos="13750"/>
        </w:tabs>
        <w:adjustRightInd/>
        <w:snapToGrid/>
        <w:spacing w:after="0" w:line="480" w:lineRule="auto"/>
        <w:ind w:firstLineChars="2344" w:firstLine="5110"/>
        <w:rPr>
          <w:rFonts w:ascii="仿宋_GB2312" w:eastAsia="仿宋_GB2312" w:hAnsi="宋体" w:cs="宋体" w:hint="eastAsia"/>
          <w:bCs/>
          <w:color w:val="333333"/>
          <w:spacing w:val="8"/>
          <w:sz w:val="21"/>
          <w:szCs w:val="21"/>
        </w:rPr>
      </w:pPr>
      <w:r w:rsidRPr="001D6C04">
        <w:rPr>
          <w:rFonts w:ascii="仿宋_GB2312" w:eastAsia="仿宋_GB2312" w:hAnsi="宋体" w:cs="宋体" w:hint="eastAsia"/>
          <w:bCs/>
          <w:color w:val="333333"/>
          <w:spacing w:val="8"/>
          <w:sz w:val="21"/>
          <w:szCs w:val="21"/>
        </w:rPr>
        <w:t>信息发布人：涞水县医疗保障局</w:t>
      </w:r>
    </w:p>
    <w:tbl>
      <w:tblPr>
        <w:tblW w:w="13855" w:type="dxa"/>
        <w:shd w:val="clear" w:color="auto" w:fill="FFFFFF"/>
        <w:tblCellMar>
          <w:left w:w="0" w:type="dxa"/>
          <w:right w:w="0" w:type="dxa"/>
        </w:tblCellMar>
        <w:tblLook w:val="04A0"/>
      </w:tblPr>
      <w:tblGrid>
        <w:gridCol w:w="623"/>
        <w:gridCol w:w="2034"/>
        <w:gridCol w:w="1984"/>
        <w:gridCol w:w="2268"/>
        <w:gridCol w:w="2127"/>
        <w:gridCol w:w="4819"/>
      </w:tblGrid>
      <w:tr w:rsidR="00755892" w:rsidRPr="001D6C04" w:rsidTr="00217D3F">
        <w:trPr>
          <w:trHeight w:val="465"/>
          <w:tblHeader/>
        </w:trPr>
        <w:tc>
          <w:tcPr>
            <w:tcW w:w="6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1D6C04" w:rsidRDefault="008742E9" w:rsidP="008742E9">
            <w:pPr>
              <w:wordWrap w:val="0"/>
              <w:adjustRightInd/>
              <w:snapToGrid/>
              <w:spacing w:after="0"/>
              <w:jc w:val="center"/>
              <w:rPr>
                <w:rFonts w:ascii="微软雅黑" w:hAnsi="微软雅黑" w:cs="宋体"/>
                <w:color w:val="333333"/>
                <w:spacing w:val="8"/>
                <w:sz w:val="26"/>
                <w:szCs w:val="26"/>
              </w:rPr>
            </w:pPr>
            <w:r w:rsidRPr="001D6C04">
              <w:rPr>
                <w:rFonts w:ascii="黑体" w:eastAsia="黑体" w:hAnsi="黑体" w:cs="宋体" w:hint="eastAsia"/>
                <w:bCs/>
                <w:color w:val="333333"/>
                <w:spacing w:val="8"/>
                <w:sz w:val="26"/>
              </w:rPr>
              <w:t>序号</w:t>
            </w:r>
          </w:p>
        </w:tc>
        <w:tc>
          <w:tcPr>
            <w:tcW w:w="203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1D6C04" w:rsidRDefault="008742E9" w:rsidP="008742E9">
            <w:pPr>
              <w:wordWrap w:val="0"/>
              <w:adjustRightInd/>
              <w:snapToGrid/>
              <w:spacing w:after="0"/>
              <w:jc w:val="center"/>
              <w:rPr>
                <w:rFonts w:ascii="微软雅黑" w:hAnsi="微软雅黑" w:cs="宋体"/>
                <w:color w:val="333333"/>
                <w:spacing w:val="8"/>
                <w:sz w:val="26"/>
                <w:szCs w:val="26"/>
              </w:rPr>
            </w:pPr>
            <w:r w:rsidRPr="001D6C04">
              <w:rPr>
                <w:rFonts w:ascii="黑体" w:eastAsia="黑体" w:hAnsi="黑体" w:cs="宋体" w:hint="eastAsia"/>
                <w:bCs/>
                <w:color w:val="333333"/>
                <w:spacing w:val="8"/>
                <w:sz w:val="26"/>
              </w:rPr>
              <w:t>处罚事项名称</w:t>
            </w:r>
          </w:p>
        </w:tc>
        <w:tc>
          <w:tcPr>
            <w:tcW w:w="198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1D6C04" w:rsidRDefault="008742E9" w:rsidP="008742E9">
            <w:pPr>
              <w:wordWrap w:val="0"/>
              <w:adjustRightInd/>
              <w:snapToGrid/>
              <w:spacing w:after="0"/>
              <w:jc w:val="center"/>
              <w:rPr>
                <w:rFonts w:ascii="微软雅黑" w:hAnsi="微软雅黑" w:cs="宋体"/>
                <w:color w:val="333333"/>
                <w:spacing w:val="8"/>
                <w:sz w:val="26"/>
                <w:szCs w:val="26"/>
              </w:rPr>
            </w:pPr>
            <w:r w:rsidRPr="001D6C04">
              <w:rPr>
                <w:rFonts w:ascii="黑体" w:eastAsia="黑体" w:hAnsi="黑体" w:cs="宋体" w:hint="eastAsia"/>
                <w:bCs/>
                <w:color w:val="333333"/>
                <w:spacing w:val="8"/>
                <w:sz w:val="26"/>
              </w:rPr>
              <w:t>法定处罚标准</w:t>
            </w:r>
          </w:p>
        </w:tc>
        <w:tc>
          <w:tcPr>
            <w:tcW w:w="226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1D6C04" w:rsidRDefault="008742E9" w:rsidP="008742E9">
            <w:pPr>
              <w:wordWrap w:val="0"/>
              <w:adjustRightInd/>
              <w:snapToGrid/>
              <w:spacing w:after="0"/>
              <w:jc w:val="center"/>
              <w:rPr>
                <w:rFonts w:ascii="微软雅黑" w:hAnsi="微软雅黑" w:cs="宋体"/>
                <w:color w:val="333333"/>
                <w:spacing w:val="8"/>
                <w:sz w:val="26"/>
                <w:szCs w:val="26"/>
              </w:rPr>
            </w:pPr>
            <w:r w:rsidRPr="001D6C04">
              <w:rPr>
                <w:rFonts w:ascii="黑体" w:eastAsia="黑体" w:hAnsi="黑体" w:cs="宋体" w:hint="eastAsia"/>
                <w:bCs/>
                <w:color w:val="333333"/>
                <w:spacing w:val="8"/>
                <w:sz w:val="26"/>
              </w:rPr>
              <w:t>法律依据</w:t>
            </w:r>
          </w:p>
        </w:tc>
        <w:tc>
          <w:tcPr>
            <w:tcW w:w="212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1D6C04" w:rsidRDefault="008742E9" w:rsidP="008742E9">
            <w:pPr>
              <w:wordWrap w:val="0"/>
              <w:adjustRightInd/>
              <w:snapToGrid/>
              <w:spacing w:after="0"/>
              <w:jc w:val="center"/>
              <w:rPr>
                <w:rFonts w:ascii="微软雅黑" w:hAnsi="微软雅黑" w:cs="宋体"/>
                <w:color w:val="333333"/>
                <w:spacing w:val="8"/>
                <w:sz w:val="26"/>
                <w:szCs w:val="26"/>
              </w:rPr>
            </w:pPr>
            <w:r w:rsidRPr="001D6C04">
              <w:rPr>
                <w:rFonts w:ascii="黑体" w:eastAsia="黑体" w:hAnsi="黑体" w:cs="宋体" w:hint="eastAsia"/>
                <w:bCs/>
                <w:color w:val="333333"/>
                <w:spacing w:val="8"/>
                <w:sz w:val="26"/>
              </w:rPr>
              <w:t>违法程度档次</w:t>
            </w:r>
          </w:p>
        </w:tc>
        <w:tc>
          <w:tcPr>
            <w:tcW w:w="481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1D6C04" w:rsidRDefault="008742E9" w:rsidP="008742E9">
            <w:pPr>
              <w:wordWrap w:val="0"/>
              <w:adjustRightInd/>
              <w:snapToGrid/>
              <w:spacing w:after="0"/>
              <w:jc w:val="center"/>
              <w:rPr>
                <w:rFonts w:ascii="微软雅黑" w:hAnsi="微软雅黑" w:cs="宋体"/>
                <w:color w:val="333333"/>
                <w:spacing w:val="8"/>
                <w:sz w:val="26"/>
                <w:szCs w:val="26"/>
              </w:rPr>
            </w:pPr>
            <w:r w:rsidRPr="001D6C04">
              <w:rPr>
                <w:rFonts w:ascii="黑体" w:eastAsia="黑体" w:hAnsi="黑体" w:cs="宋体" w:hint="eastAsia"/>
                <w:bCs/>
                <w:color w:val="333333"/>
                <w:spacing w:val="8"/>
                <w:sz w:val="26"/>
              </w:rPr>
              <w:t>裁量基准</w:t>
            </w:r>
          </w:p>
        </w:tc>
      </w:tr>
      <w:tr w:rsidR="00755892" w:rsidRPr="00217D3F" w:rsidTr="00217D3F">
        <w:trPr>
          <w:trHeight w:val="900"/>
        </w:trPr>
        <w:tc>
          <w:tcPr>
            <w:tcW w:w="623"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1</w:t>
            </w:r>
          </w:p>
        </w:tc>
        <w:tc>
          <w:tcPr>
            <w:tcW w:w="2034"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对用人单位不办理医疗保险登记,经责令逾期不改正的处罚</w:t>
            </w:r>
          </w:p>
        </w:tc>
        <w:tc>
          <w:tcPr>
            <w:tcW w:w="1984"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处应缴医疗保险费数额一倍以上三倍以下的罚款，对其直接负责的主管人员和其他人员处五百元以上三千元以下的罚款</w:t>
            </w:r>
          </w:p>
        </w:tc>
        <w:tc>
          <w:tcPr>
            <w:tcW w:w="2268"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《中华人民共和国社会保险法》（2010年10月28日第十一届全国人民代表大会常务委员会第十七次会议通过）第八十四条</w:t>
            </w: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逾期1个月以内不办理医疗保险登记的</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医疗保障行政部门责令限期改正</w:t>
            </w:r>
          </w:p>
        </w:tc>
      </w:tr>
      <w:tr w:rsidR="0045375E" w:rsidRPr="00217D3F" w:rsidTr="00217D3F">
        <w:trPr>
          <w:trHeight w:val="7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逾期1个月以上3个月以下不办理医疗保险登记的</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line="240" w:lineRule="atLeast"/>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按应缴医疗保险费数额</w:t>
            </w:r>
            <w:r w:rsidR="009C2E9C" w:rsidRPr="00217D3F">
              <w:rPr>
                <w:rFonts w:ascii="仿宋_GB2312" w:eastAsia="仿宋_GB2312" w:hAnsi="宋体" w:cs="宋体" w:hint="eastAsia"/>
                <w:color w:val="333333"/>
                <w:spacing w:val="8"/>
                <w:sz w:val="21"/>
                <w:szCs w:val="21"/>
              </w:rPr>
              <w:t>1</w:t>
            </w:r>
            <w:r w:rsidRPr="00217D3F">
              <w:rPr>
                <w:rFonts w:ascii="仿宋_GB2312" w:eastAsia="仿宋_GB2312" w:hAnsi="宋体" w:cs="宋体" w:hint="eastAsia"/>
                <w:color w:val="333333"/>
                <w:spacing w:val="8"/>
                <w:sz w:val="21"/>
                <w:szCs w:val="21"/>
              </w:rPr>
              <w:t>倍的标准支付处罚金，对直接负责的主管人员和其他直接责任人员处以500元以上1000元以下罚款</w:t>
            </w:r>
          </w:p>
        </w:tc>
      </w:tr>
      <w:tr w:rsidR="0045375E" w:rsidRPr="00217D3F" w:rsidTr="00217D3F">
        <w:trPr>
          <w:trHeight w:val="7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逾期3个月以上6个月以下不办理医疗保险登记的</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line="240" w:lineRule="atLeast"/>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按缴医疗保险费数额2倍标准支付处罚金，对直接负责的主管人员和其他直接责任人员处1000元以上2000元以下罚款</w:t>
            </w:r>
          </w:p>
        </w:tc>
      </w:tr>
      <w:tr w:rsidR="0045375E" w:rsidRPr="00217D3F" w:rsidTr="00217D3F">
        <w:trPr>
          <w:trHeight w:val="87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逾期6个月以上不办理医疗保险登记的</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line="240" w:lineRule="atLeast"/>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按应缴医疗保险费数额3倍的标准支付处罚金，对直接负责的主管人员和其他直接责任人员处以2000元以上3000元以下罚款</w:t>
            </w:r>
          </w:p>
        </w:tc>
      </w:tr>
      <w:tr w:rsidR="00755892" w:rsidRPr="00217D3F" w:rsidTr="00217D3F">
        <w:trPr>
          <w:trHeight w:val="904"/>
        </w:trPr>
        <w:tc>
          <w:tcPr>
            <w:tcW w:w="623"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2</w:t>
            </w:r>
          </w:p>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lastRenderedPageBreak/>
              <w:t> </w:t>
            </w:r>
          </w:p>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tc>
        <w:tc>
          <w:tcPr>
            <w:tcW w:w="2034"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lastRenderedPageBreak/>
              <w:t>对将本人的基本医疗保险凭证出借给他人就医或者出借给医疗机构使用的处罚</w:t>
            </w:r>
          </w:p>
        </w:tc>
        <w:tc>
          <w:tcPr>
            <w:tcW w:w="1984"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处二百元以上五百以下的罚款</w:t>
            </w:r>
          </w:p>
        </w:tc>
        <w:tc>
          <w:tcPr>
            <w:tcW w:w="2268"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《河北省基本医疗保险服务监督管理办法》（河北省人民政府令</w:t>
            </w:r>
            <w:r w:rsidRPr="00217D3F">
              <w:rPr>
                <w:rFonts w:ascii="仿宋_GB2312" w:eastAsia="宋体" w:hAnsi="宋体" w:cs="宋体" w:hint="eastAsia"/>
                <w:color w:val="333333"/>
                <w:spacing w:val="8"/>
                <w:sz w:val="21"/>
                <w:szCs w:val="21"/>
              </w:rPr>
              <w:t>﹝</w:t>
            </w:r>
            <w:r w:rsidRPr="00217D3F">
              <w:rPr>
                <w:rFonts w:ascii="仿宋_GB2312" w:eastAsia="仿宋_GB2312" w:hAnsi="宋体" w:cs="宋体" w:hint="eastAsia"/>
                <w:color w:val="333333"/>
                <w:spacing w:val="8"/>
                <w:sz w:val="21"/>
                <w:szCs w:val="21"/>
              </w:rPr>
              <w:t>2015</w:t>
            </w:r>
            <w:r w:rsidRPr="00217D3F">
              <w:rPr>
                <w:rFonts w:ascii="仿宋_GB2312" w:eastAsia="宋体" w:hAnsi="宋体" w:cs="宋体" w:hint="eastAsia"/>
                <w:color w:val="333333"/>
                <w:spacing w:val="8"/>
                <w:sz w:val="21"/>
                <w:szCs w:val="21"/>
              </w:rPr>
              <w:t>﹞</w:t>
            </w:r>
            <w:r w:rsidRPr="00217D3F">
              <w:rPr>
                <w:rFonts w:ascii="仿宋_GB2312" w:eastAsia="仿宋_GB2312" w:hAnsi="宋体" w:cs="宋体" w:hint="eastAsia"/>
                <w:color w:val="333333"/>
                <w:spacing w:val="8"/>
                <w:sz w:val="21"/>
                <w:szCs w:val="21"/>
              </w:rPr>
              <w:t>第12号）第二十六条</w:t>
            </w:r>
            <w:r w:rsidRPr="00217D3F">
              <w:rPr>
                <w:rFonts w:ascii="宋体" w:eastAsia="仿宋_GB2312" w:hAnsi="宋体" w:cs="宋体" w:hint="eastAsia"/>
                <w:color w:val="333333"/>
                <w:spacing w:val="8"/>
                <w:sz w:val="21"/>
                <w:szCs w:val="21"/>
              </w:rPr>
              <w:t> </w:t>
            </w: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情节轻微</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处二百元以上三百以下的罚款</w:t>
            </w:r>
          </w:p>
        </w:tc>
      </w:tr>
      <w:tr w:rsidR="0045375E" w:rsidRPr="00217D3F" w:rsidTr="00217D3F">
        <w:trPr>
          <w:trHeight w:val="91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情节一般</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处三百元以上四百以下的罚款</w:t>
            </w:r>
          </w:p>
        </w:tc>
      </w:tr>
      <w:tr w:rsidR="00755892" w:rsidRPr="00217D3F" w:rsidTr="00217D3F">
        <w:trPr>
          <w:trHeight w:val="127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情节较重</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217D3F">
            <w:pPr>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处四百元以上五百以下的罚款</w:t>
            </w:r>
          </w:p>
        </w:tc>
      </w:tr>
      <w:tr w:rsidR="00755892" w:rsidRPr="00217D3F" w:rsidTr="00217D3F">
        <w:trPr>
          <w:trHeight w:val="1177"/>
        </w:trPr>
        <w:tc>
          <w:tcPr>
            <w:tcW w:w="623"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lastRenderedPageBreak/>
              <w:t>3</w:t>
            </w:r>
          </w:p>
        </w:tc>
        <w:tc>
          <w:tcPr>
            <w:tcW w:w="2034"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对以欺诈、伪造证明材料或者其他手段骗取医疗保障基金支出的处罚</w:t>
            </w:r>
          </w:p>
        </w:tc>
        <w:tc>
          <w:tcPr>
            <w:tcW w:w="1984"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处骗取金额二倍以上五倍以下的罚款</w:t>
            </w:r>
          </w:p>
        </w:tc>
        <w:tc>
          <w:tcPr>
            <w:tcW w:w="2268"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《中华人民共和国社会保险法》（2010年10月28日第十一届全国人民代表大会常务委员会第十七次会议通过）第八十七条</w:t>
            </w:r>
          </w:p>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《河北省社会保险基金监督办法》（河北省人民政府令</w:t>
            </w:r>
            <w:r w:rsidRPr="00217D3F">
              <w:rPr>
                <w:rFonts w:ascii="仿宋_GB2312" w:eastAsia="宋体" w:hAnsi="宋体" w:cs="宋体" w:hint="eastAsia"/>
                <w:color w:val="333333"/>
                <w:spacing w:val="8"/>
                <w:sz w:val="21"/>
                <w:szCs w:val="21"/>
              </w:rPr>
              <w:t>﹝</w:t>
            </w:r>
            <w:r w:rsidRPr="00217D3F">
              <w:rPr>
                <w:rFonts w:ascii="仿宋_GB2312" w:eastAsia="仿宋_GB2312" w:hAnsi="宋体" w:cs="宋体" w:hint="eastAsia"/>
                <w:color w:val="333333"/>
                <w:spacing w:val="8"/>
                <w:sz w:val="21"/>
                <w:szCs w:val="21"/>
              </w:rPr>
              <w:t>2018</w:t>
            </w:r>
            <w:r w:rsidRPr="00217D3F">
              <w:rPr>
                <w:rFonts w:ascii="仿宋_GB2312" w:eastAsia="宋体" w:hAnsi="宋体" w:cs="宋体" w:hint="eastAsia"/>
                <w:color w:val="333333"/>
                <w:spacing w:val="8"/>
                <w:sz w:val="21"/>
                <w:szCs w:val="21"/>
              </w:rPr>
              <w:t>﹞</w:t>
            </w:r>
            <w:r w:rsidRPr="00217D3F">
              <w:rPr>
                <w:rFonts w:ascii="仿宋_GB2312" w:eastAsia="仿宋_GB2312" w:hAnsi="宋体" w:cs="宋体" w:hint="eastAsia"/>
                <w:color w:val="333333"/>
                <w:spacing w:val="8"/>
                <w:sz w:val="21"/>
                <w:szCs w:val="21"/>
              </w:rPr>
              <w:t>第1号）第四十六条</w:t>
            </w:r>
          </w:p>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情节一般</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责令其退还，并处骗取金额2倍的罚款</w:t>
            </w:r>
          </w:p>
        </w:tc>
      </w:tr>
      <w:tr w:rsidR="00755892" w:rsidRPr="00217D3F" w:rsidTr="00217D3F">
        <w:trPr>
          <w:trHeight w:val="82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情节较重</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责令其退还，并处骗取金额3倍的罚款</w:t>
            </w:r>
          </w:p>
        </w:tc>
      </w:tr>
      <w:tr w:rsidR="00755892" w:rsidRPr="00217D3F" w:rsidTr="00217D3F">
        <w:trPr>
          <w:trHeight w:val="983"/>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情节严重</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责令其退还，并处骗取金额4倍的罚款</w:t>
            </w:r>
          </w:p>
        </w:tc>
      </w:tr>
      <w:tr w:rsidR="00755892" w:rsidRPr="00217D3F" w:rsidTr="00217D3F">
        <w:trPr>
          <w:trHeight w:val="807"/>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情节特别严重</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责令其退还，并处骗取金额5倍的罚款</w:t>
            </w:r>
          </w:p>
        </w:tc>
      </w:tr>
      <w:tr w:rsidR="00755892" w:rsidRPr="00217D3F" w:rsidTr="00217D3F">
        <w:trPr>
          <w:trHeight w:val="964"/>
        </w:trPr>
        <w:tc>
          <w:tcPr>
            <w:tcW w:w="623"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4</w:t>
            </w:r>
          </w:p>
        </w:tc>
        <w:tc>
          <w:tcPr>
            <w:tcW w:w="2034"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对以欺诈、伪造证明材料或者其他手段骗取医疗保障待遇的处罚</w:t>
            </w:r>
          </w:p>
        </w:tc>
        <w:tc>
          <w:tcPr>
            <w:tcW w:w="1984"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处骗取金额二倍以上五倍以下的罚款</w:t>
            </w:r>
          </w:p>
        </w:tc>
        <w:tc>
          <w:tcPr>
            <w:tcW w:w="2268"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8742E9">
            <w:pPr>
              <w:wordWrap w:val="0"/>
              <w:adjustRightInd/>
              <w:snapToGrid/>
              <w:spacing w:after="0"/>
              <w:jc w:val="both"/>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《中华人民共和国社会保险法》（2010年10月28日第十一届全国人民代表大会常务委员会第十七次会议通过）第八十八条</w:t>
            </w:r>
          </w:p>
          <w:p w:rsidR="008742E9" w:rsidRPr="00217D3F" w:rsidRDefault="008742E9" w:rsidP="001F4503">
            <w:pPr>
              <w:wordWrap w:val="0"/>
              <w:adjustRightInd/>
              <w:snapToGrid/>
              <w:spacing w:after="0"/>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lastRenderedPageBreak/>
              <w:t>《河北省社会保险基金监督办法》（河北省人民政府令</w:t>
            </w:r>
            <w:r w:rsidRPr="00217D3F">
              <w:rPr>
                <w:rFonts w:ascii="仿宋_GB2312" w:eastAsia="宋体" w:hAnsi="宋体" w:cs="宋体" w:hint="eastAsia"/>
                <w:color w:val="333333"/>
                <w:spacing w:val="8"/>
                <w:sz w:val="21"/>
                <w:szCs w:val="21"/>
              </w:rPr>
              <w:t>﹝</w:t>
            </w:r>
            <w:r w:rsidRPr="00217D3F">
              <w:rPr>
                <w:rFonts w:ascii="仿宋_GB2312" w:eastAsia="仿宋_GB2312" w:hAnsi="宋体" w:cs="宋体" w:hint="eastAsia"/>
                <w:color w:val="333333"/>
                <w:spacing w:val="8"/>
                <w:sz w:val="21"/>
                <w:szCs w:val="21"/>
              </w:rPr>
              <w:t>2018</w:t>
            </w:r>
            <w:r w:rsidRPr="00217D3F">
              <w:rPr>
                <w:rFonts w:ascii="仿宋_GB2312" w:eastAsia="宋体" w:hAnsi="宋体" w:cs="宋体" w:hint="eastAsia"/>
                <w:color w:val="333333"/>
                <w:spacing w:val="8"/>
                <w:sz w:val="21"/>
                <w:szCs w:val="21"/>
              </w:rPr>
              <w:t>﹞</w:t>
            </w:r>
            <w:r w:rsidRPr="00217D3F">
              <w:rPr>
                <w:rFonts w:ascii="仿宋_GB2312" w:eastAsia="仿宋_GB2312" w:hAnsi="宋体" w:cs="宋体" w:hint="eastAsia"/>
                <w:color w:val="333333"/>
                <w:spacing w:val="8"/>
                <w:sz w:val="21"/>
                <w:szCs w:val="21"/>
              </w:rPr>
              <w:t>第1号）第四十七条</w:t>
            </w: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C9648F">
            <w:pPr>
              <w:adjustRightInd/>
              <w:snapToGrid/>
              <w:spacing w:after="0"/>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lastRenderedPageBreak/>
              <w:t>骗取金额5000元以下的</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责令其退还，并处骗取金额2倍的罚款</w:t>
            </w:r>
          </w:p>
        </w:tc>
      </w:tr>
      <w:tr w:rsidR="0045375E" w:rsidRPr="00217D3F" w:rsidTr="00217D3F">
        <w:trPr>
          <w:trHeight w:val="87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C9648F">
            <w:pPr>
              <w:wordWrap w:val="0"/>
              <w:adjustRightInd/>
              <w:snapToGrid/>
              <w:spacing w:after="0"/>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骗取金额5000元以上1万元以下的</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责令其退还，并处骗取金额3倍的罚款</w:t>
            </w:r>
          </w:p>
        </w:tc>
      </w:tr>
      <w:tr w:rsidR="0045375E" w:rsidRPr="00217D3F" w:rsidTr="00217D3F">
        <w:trPr>
          <w:trHeight w:val="87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C9648F">
            <w:pPr>
              <w:wordWrap w:val="0"/>
              <w:adjustRightInd/>
              <w:snapToGrid/>
              <w:spacing w:after="0"/>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骗取金额1万元以上3万元以下的</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责令其退还，并处骗取金额4倍的罚款</w:t>
            </w:r>
          </w:p>
        </w:tc>
      </w:tr>
      <w:tr w:rsidR="0045375E" w:rsidRPr="00217D3F" w:rsidTr="00217D3F">
        <w:trPr>
          <w:trHeight w:val="87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03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1984"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268" w:type="dxa"/>
            <w:vMerge/>
            <w:tcBorders>
              <w:top w:val="nil"/>
              <w:left w:val="nil"/>
              <w:bottom w:val="single" w:sz="6" w:space="0" w:color="auto"/>
              <w:right w:val="single" w:sz="6" w:space="0" w:color="auto"/>
            </w:tcBorders>
            <w:shd w:val="clear" w:color="auto" w:fill="FFFFFF"/>
            <w:vAlign w:val="center"/>
            <w:hideMark/>
          </w:tcPr>
          <w:p w:rsidR="008742E9" w:rsidRPr="00217D3F" w:rsidRDefault="008742E9" w:rsidP="008742E9">
            <w:pPr>
              <w:adjustRightInd/>
              <w:snapToGrid/>
              <w:spacing w:after="0"/>
              <w:rPr>
                <w:rFonts w:ascii="仿宋_GB2312" w:eastAsia="仿宋_GB2312" w:hAnsi="微软雅黑" w:cs="宋体" w:hint="eastAsia"/>
                <w:color w:val="333333"/>
                <w:spacing w:val="8"/>
                <w:sz w:val="21"/>
                <w:szCs w:val="21"/>
              </w:rPr>
            </w:pPr>
          </w:p>
        </w:tc>
        <w:tc>
          <w:tcPr>
            <w:tcW w:w="2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C9648F">
            <w:pPr>
              <w:wordWrap w:val="0"/>
              <w:adjustRightInd/>
              <w:snapToGrid/>
              <w:spacing w:after="0"/>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骗取金额3万元以上的</w:t>
            </w:r>
          </w:p>
        </w:tc>
        <w:tc>
          <w:tcPr>
            <w:tcW w:w="481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742E9" w:rsidRPr="00217D3F" w:rsidRDefault="008742E9" w:rsidP="00E35875">
            <w:pPr>
              <w:wordWrap w:val="0"/>
              <w:adjustRightInd/>
              <w:snapToGrid/>
              <w:spacing w:after="0"/>
              <w:jc w:val="center"/>
              <w:rPr>
                <w:rFonts w:ascii="仿宋_GB2312" w:eastAsia="仿宋_GB2312" w:hAnsi="微软雅黑" w:cs="宋体" w:hint="eastAsia"/>
                <w:color w:val="333333"/>
                <w:spacing w:val="8"/>
                <w:sz w:val="21"/>
                <w:szCs w:val="21"/>
              </w:rPr>
            </w:pPr>
            <w:r w:rsidRPr="00217D3F">
              <w:rPr>
                <w:rFonts w:ascii="仿宋_GB2312" w:eastAsia="仿宋_GB2312" w:hAnsi="宋体" w:cs="宋体" w:hint="eastAsia"/>
                <w:color w:val="333333"/>
                <w:spacing w:val="8"/>
                <w:sz w:val="21"/>
                <w:szCs w:val="21"/>
              </w:rPr>
              <w:t>责令其退还，并处骗取金额5倍的罚款</w:t>
            </w:r>
          </w:p>
        </w:tc>
      </w:tr>
    </w:tbl>
    <w:p w:rsidR="008742E9" w:rsidRPr="00217D3F" w:rsidRDefault="008742E9" w:rsidP="008742E9">
      <w:pPr>
        <w:shd w:val="clear" w:color="auto" w:fill="FFFFFF"/>
        <w:adjustRightInd/>
        <w:snapToGrid/>
        <w:spacing w:after="0"/>
        <w:jc w:val="both"/>
        <w:rPr>
          <w:rFonts w:ascii="仿宋_GB2312" w:eastAsia="仿宋_GB2312" w:hAnsi="微软雅黑" w:cs="宋体" w:hint="eastAsia"/>
          <w:color w:val="333333"/>
          <w:spacing w:val="8"/>
          <w:sz w:val="21"/>
          <w:szCs w:val="21"/>
        </w:rPr>
      </w:pPr>
      <w:r w:rsidRPr="00217D3F">
        <w:rPr>
          <w:rFonts w:ascii="宋体" w:eastAsia="仿宋_GB2312" w:hAnsi="宋体" w:cs="宋体" w:hint="eastAsia"/>
          <w:color w:val="333333"/>
          <w:spacing w:val="8"/>
          <w:sz w:val="21"/>
          <w:szCs w:val="21"/>
        </w:rPr>
        <w:t> </w:t>
      </w:r>
    </w:p>
    <w:p w:rsidR="00F459C7" w:rsidRPr="00217D3F" w:rsidRDefault="00F459C7" w:rsidP="008742E9">
      <w:pPr>
        <w:spacing w:line="220" w:lineRule="atLeast"/>
        <w:rPr>
          <w:rFonts w:ascii="仿宋_GB2312" w:eastAsia="仿宋_GB2312" w:hAnsiTheme="majorEastAsia" w:hint="eastAsia"/>
          <w:b/>
          <w:sz w:val="21"/>
          <w:szCs w:val="21"/>
        </w:rPr>
      </w:pPr>
    </w:p>
    <w:sectPr w:rsidR="00F459C7" w:rsidRPr="00217D3F" w:rsidSect="009E1C60">
      <w:pgSz w:w="16838" w:h="11906" w:orient="landscape"/>
      <w:pgMar w:top="1797" w:right="232" w:bottom="17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F7" w:rsidRDefault="005A04F7" w:rsidP="008679F8">
      <w:pPr>
        <w:spacing w:after="0"/>
      </w:pPr>
      <w:r>
        <w:separator/>
      </w:r>
    </w:p>
  </w:endnote>
  <w:endnote w:type="continuationSeparator" w:id="0">
    <w:p w:rsidR="005A04F7" w:rsidRDefault="005A04F7" w:rsidP="008679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F7" w:rsidRDefault="005A04F7" w:rsidP="008679F8">
      <w:pPr>
        <w:spacing w:after="0"/>
      </w:pPr>
      <w:r>
        <w:separator/>
      </w:r>
    </w:p>
  </w:footnote>
  <w:footnote w:type="continuationSeparator" w:id="0">
    <w:p w:rsidR="005A04F7" w:rsidRDefault="005A04F7" w:rsidP="008679F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D31D50"/>
    <w:rsid w:val="000B46AB"/>
    <w:rsid w:val="001D6C04"/>
    <w:rsid w:val="001F4503"/>
    <w:rsid w:val="00217D3F"/>
    <w:rsid w:val="002223CF"/>
    <w:rsid w:val="002F088D"/>
    <w:rsid w:val="00323B43"/>
    <w:rsid w:val="003D37D8"/>
    <w:rsid w:val="00426133"/>
    <w:rsid w:val="00426A6E"/>
    <w:rsid w:val="004358AB"/>
    <w:rsid w:val="0045375E"/>
    <w:rsid w:val="005A04F7"/>
    <w:rsid w:val="005C09EB"/>
    <w:rsid w:val="00610E31"/>
    <w:rsid w:val="006C03BB"/>
    <w:rsid w:val="00712BC0"/>
    <w:rsid w:val="00755892"/>
    <w:rsid w:val="008679F8"/>
    <w:rsid w:val="008742E9"/>
    <w:rsid w:val="008B7726"/>
    <w:rsid w:val="00970E5A"/>
    <w:rsid w:val="009C2E9C"/>
    <w:rsid w:val="009E1C60"/>
    <w:rsid w:val="00A3617A"/>
    <w:rsid w:val="00B67A77"/>
    <w:rsid w:val="00C20333"/>
    <w:rsid w:val="00C9648F"/>
    <w:rsid w:val="00CF5253"/>
    <w:rsid w:val="00D31D50"/>
    <w:rsid w:val="00D64777"/>
    <w:rsid w:val="00E35875"/>
    <w:rsid w:val="00E43A12"/>
    <w:rsid w:val="00E64527"/>
    <w:rsid w:val="00E865AB"/>
    <w:rsid w:val="00F04B2D"/>
    <w:rsid w:val="00F45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2E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742E9"/>
    <w:rPr>
      <w:b/>
      <w:bCs/>
    </w:rPr>
  </w:style>
  <w:style w:type="paragraph" w:styleId="a5">
    <w:name w:val="header"/>
    <w:basedOn w:val="a"/>
    <w:link w:val="Char"/>
    <w:uiPriority w:val="99"/>
    <w:semiHidden/>
    <w:unhideWhenUsed/>
    <w:rsid w:val="008679F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8679F8"/>
    <w:rPr>
      <w:rFonts w:ascii="Tahoma" w:hAnsi="Tahoma"/>
      <w:sz w:val="18"/>
      <w:szCs w:val="18"/>
    </w:rPr>
  </w:style>
  <w:style w:type="paragraph" w:styleId="a6">
    <w:name w:val="footer"/>
    <w:basedOn w:val="a"/>
    <w:link w:val="Char0"/>
    <w:uiPriority w:val="99"/>
    <w:semiHidden/>
    <w:unhideWhenUsed/>
    <w:rsid w:val="008679F8"/>
    <w:pPr>
      <w:tabs>
        <w:tab w:val="center" w:pos="4153"/>
        <w:tab w:val="right" w:pos="8306"/>
      </w:tabs>
    </w:pPr>
    <w:rPr>
      <w:sz w:val="18"/>
      <w:szCs w:val="18"/>
    </w:rPr>
  </w:style>
  <w:style w:type="character" w:customStyle="1" w:styleId="Char0">
    <w:name w:val="页脚 Char"/>
    <w:basedOn w:val="a0"/>
    <w:link w:val="a6"/>
    <w:uiPriority w:val="99"/>
    <w:semiHidden/>
    <w:rsid w:val="008679F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768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6E91B0-35E0-48D5-BD12-A114561A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47</cp:revision>
  <cp:lastPrinted>2020-05-20T08:54:00Z</cp:lastPrinted>
  <dcterms:created xsi:type="dcterms:W3CDTF">2008-09-11T17:20:00Z</dcterms:created>
  <dcterms:modified xsi:type="dcterms:W3CDTF">2020-05-27T02:45:00Z</dcterms:modified>
</cp:coreProperties>
</file>