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rPr>
        <w:t>部门预算公开有关事项的说明</w:t>
      </w: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（一）、部门职责。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、配合县委有关部门抓好县直机关各部门领导班子思想政治建设，参与对党员领导干部民主生活会和县直各部门党组（党委）理论学习中心组学习的督促检查和指导，了解掌握情况，按规定报送情况报告。</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、督促指导县直机关各部门机关党组织按期换届，审批关于召开党员大会或党员代表大会的请示，审批县直机关各部门党组织的组成及书记、副书记的任免。</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、协同有关部门指导、规划、协调、监督县直机关干部教育培训工作，组织实施有关干部教育培训重点任务。</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keepNext w:val="0"/>
        <w:keepLines w:val="0"/>
        <w:pageBreakBefore w:val="0"/>
        <w:widowControl/>
        <w:kinsoku/>
        <w:wordWrap/>
        <w:overflowPunct/>
        <w:topLinePunct w:val="0"/>
        <w:autoSpaceDE/>
        <w:autoSpaceDN/>
        <w:bidi w:val="0"/>
        <w:adjustRightInd/>
        <w:snapToGrid/>
        <w:spacing w:line="560" w:lineRule="exact"/>
        <w:ind w:right="0" w:rightChars="0"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45"/>
        <w:rPr>
          <w:rFonts w:ascii="仿宋_GB2312" w:hAnsi="仿宋" w:eastAsia="仿宋_GB2312" w:cs="仿宋"/>
          <w:kern w:val="0"/>
          <w:sz w:val="32"/>
          <w:szCs w:val="32"/>
        </w:rPr>
      </w:pPr>
    </w:p>
    <w:tbl>
      <w:tblPr>
        <w:tblStyle w:val="3"/>
        <w:tblW w:w="9500" w:type="dxa"/>
        <w:tblInd w:w="93" w:type="dxa"/>
        <w:tblLayout w:type="fixed"/>
        <w:tblCellMar>
          <w:top w:w="0" w:type="dxa"/>
          <w:left w:w="108" w:type="dxa"/>
          <w:bottom w:w="0" w:type="dxa"/>
          <w:right w:w="108" w:type="dxa"/>
        </w:tblCellMar>
      </w:tblPr>
      <w:tblGrid>
        <w:gridCol w:w="1068"/>
        <w:gridCol w:w="2294"/>
        <w:gridCol w:w="2096"/>
        <w:gridCol w:w="1879"/>
        <w:gridCol w:w="2163"/>
      </w:tblGrid>
      <w:tr>
        <w:tblPrEx>
          <w:tblCellMar>
            <w:top w:w="0" w:type="dxa"/>
            <w:left w:w="108" w:type="dxa"/>
            <w:bottom w:w="0" w:type="dxa"/>
            <w:right w:w="108" w:type="dxa"/>
          </w:tblCellMar>
        </w:tblPrEx>
        <w:trPr>
          <w:trHeight w:val="90" w:hRule="atLeast"/>
        </w:trPr>
        <w:tc>
          <w:tcPr>
            <w:tcW w:w="9500"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312" w:hRule="atLeast"/>
        </w:trPr>
        <w:tc>
          <w:tcPr>
            <w:tcW w:w="106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29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09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187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16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2" w:hRule="atLeast"/>
        </w:trPr>
        <w:tc>
          <w:tcPr>
            <w:tcW w:w="10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rPr>
                <w:rFonts w:ascii="仿宋_GB2312" w:hAnsi="宋体" w:eastAsia="仿宋_GB2312" w:cs="宋体"/>
                <w:color w:val="000000"/>
                <w:kern w:val="0"/>
                <w:sz w:val="24"/>
              </w:rPr>
            </w:pPr>
          </w:p>
        </w:tc>
        <w:tc>
          <w:tcPr>
            <w:tcW w:w="229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rPr>
                <w:rFonts w:ascii="仿宋_GB2312" w:hAnsi="宋体" w:eastAsia="仿宋_GB2312" w:cs="宋体"/>
                <w:color w:val="000000"/>
                <w:kern w:val="0"/>
                <w:sz w:val="24"/>
              </w:rPr>
            </w:pPr>
          </w:p>
        </w:tc>
        <w:tc>
          <w:tcPr>
            <w:tcW w:w="209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rPr>
                <w:rFonts w:ascii="仿宋_GB2312" w:hAnsi="宋体" w:eastAsia="仿宋_GB2312" w:cs="宋体"/>
                <w:color w:val="000000"/>
                <w:kern w:val="0"/>
                <w:sz w:val="24"/>
              </w:rPr>
            </w:pPr>
          </w:p>
        </w:tc>
        <w:tc>
          <w:tcPr>
            <w:tcW w:w="187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rPr>
                <w:rFonts w:ascii="仿宋_GB2312" w:hAnsi="宋体" w:eastAsia="仿宋_GB2312" w:cs="宋体"/>
                <w:color w:val="000000"/>
                <w:kern w:val="0"/>
                <w:sz w:val="24"/>
              </w:rPr>
            </w:pPr>
          </w:p>
        </w:tc>
        <w:tc>
          <w:tcPr>
            <w:tcW w:w="216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90" w:hRule="atLeast"/>
        </w:trPr>
        <w:tc>
          <w:tcPr>
            <w:tcW w:w="10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22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18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1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keepNext w:val="0"/>
        <w:keepLines w:val="0"/>
        <w:pageBreakBefore w:val="0"/>
        <w:widowControl/>
        <w:kinsoku/>
        <w:wordWrap/>
        <w:overflowPunct/>
        <w:topLinePunct w:val="0"/>
        <w:autoSpaceDE/>
        <w:autoSpaceDN/>
        <w:bidi w:val="0"/>
        <w:adjustRightInd/>
        <w:snapToGrid/>
        <w:spacing w:line="560" w:lineRule="exact"/>
        <w:ind w:right="0" w:rightChars="0" w:firstLine="645"/>
        <w:rPr>
          <w:rFonts w:ascii="仿宋_GB2312" w:hAnsi="仿宋" w:eastAsia="仿宋_GB2312" w:cs="仿宋"/>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ascii="仿宋_GB2312" w:hAnsi="宋体" w:eastAsia="仿宋_GB2312"/>
          <w:sz w:val="32"/>
          <w:szCs w:val="32"/>
        </w:rPr>
        <w:t>5</w:t>
      </w:r>
      <w:r>
        <w:rPr>
          <w:rFonts w:hint="eastAsia" w:ascii="仿宋_GB2312" w:hAnsi="宋体" w:eastAsia="仿宋_GB2312"/>
          <w:sz w:val="32"/>
          <w:szCs w:val="32"/>
        </w:rPr>
        <w:t>人，退休人数</w:t>
      </w:r>
      <w:r>
        <w:rPr>
          <w:rFonts w:ascii="仿宋_GB2312" w:hAnsi="宋体" w:eastAsia="仿宋_GB2312"/>
          <w:sz w:val="32"/>
          <w:szCs w:val="32"/>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ascii="仿宋_GB2312" w:hAnsi="宋体" w:eastAsia="仿宋_GB2312"/>
          <w:sz w:val="32"/>
          <w:szCs w:val="32"/>
        </w:rPr>
        <w:t>60.16</w:t>
      </w:r>
      <w:r>
        <w:rPr>
          <w:rFonts w:hint="eastAsia" w:ascii="仿宋_GB2312" w:hAnsi="宋体" w:eastAsia="仿宋_GB2312"/>
          <w:sz w:val="32"/>
          <w:szCs w:val="32"/>
        </w:rPr>
        <w:t>万元，部门预算支出</w:t>
      </w:r>
      <w:r>
        <w:rPr>
          <w:rFonts w:ascii="仿宋_GB2312" w:hAnsi="宋体" w:eastAsia="仿宋_GB2312"/>
          <w:sz w:val="32"/>
          <w:szCs w:val="32"/>
        </w:rPr>
        <w:t>60.16</w:t>
      </w:r>
      <w:r>
        <w:rPr>
          <w:rFonts w:hint="eastAsia" w:ascii="仿宋_GB2312" w:hAnsi="宋体" w:eastAsia="仿宋_GB2312"/>
          <w:sz w:val="32"/>
          <w:szCs w:val="32"/>
        </w:rPr>
        <w:t>万元（基本支出</w:t>
      </w:r>
      <w:r>
        <w:rPr>
          <w:rFonts w:ascii="仿宋_GB2312" w:hAnsi="宋体" w:eastAsia="仿宋_GB2312"/>
          <w:sz w:val="32"/>
          <w:szCs w:val="32"/>
        </w:rPr>
        <w:t>56.16</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ascii="仿宋_GB2312" w:hAnsi="宋体" w:eastAsia="仿宋_GB2312"/>
          <w:sz w:val="32"/>
          <w:szCs w:val="32"/>
        </w:rPr>
        <w:t>4.00</w:t>
      </w:r>
      <w:r>
        <w:rPr>
          <w:rFonts w:hint="eastAsia" w:ascii="仿宋_GB2312" w:hAnsi="宋体"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left="640" w:right="0" w:rightChars="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ascii="楷体_GB2312" w:hAnsi="宋体" w:eastAsia="楷体_GB2312"/>
          <w:b/>
          <w:sz w:val="32"/>
          <w:szCs w:val="32"/>
        </w:rPr>
        <w:t>56.16</w:t>
      </w:r>
      <w:r>
        <w:rPr>
          <w:rFonts w:hint="eastAsia" w:ascii="楷体_GB2312" w:hAnsi="宋体" w:eastAsia="楷体_GB2312"/>
          <w:b/>
          <w:sz w:val="32"/>
          <w:szCs w:val="32"/>
        </w:rPr>
        <w:t>万元。</w:t>
      </w:r>
    </w:p>
    <w:p>
      <w:pPr>
        <w:keepNext w:val="0"/>
        <w:keepLines w:val="0"/>
        <w:pageBreakBefore w:val="0"/>
        <w:kinsoku/>
        <w:wordWrap/>
        <w:overflowPunct/>
        <w:topLinePunct w:val="0"/>
        <w:autoSpaceDE/>
        <w:autoSpaceDN/>
        <w:bidi w:val="0"/>
        <w:adjustRightInd/>
        <w:snapToGrid/>
        <w:spacing w:line="560" w:lineRule="exact"/>
        <w:ind w:left="640" w:right="0" w:rightChars="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ascii="仿宋_GB2312" w:hAnsi="宋体" w:eastAsia="仿宋_GB2312"/>
          <w:b/>
          <w:sz w:val="32"/>
          <w:szCs w:val="32"/>
        </w:rPr>
        <w:t>48.99</w:t>
      </w:r>
      <w:r>
        <w:rPr>
          <w:rFonts w:hint="eastAsia" w:ascii="仿宋_GB2312" w:hAnsi="宋体" w:eastAsia="仿宋_GB2312"/>
          <w:b/>
          <w:sz w:val="32"/>
          <w:szCs w:val="32"/>
        </w:rPr>
        <w:t>万元。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ascii="仿宋_GB2312" w:hAnsi="宋体" w:eastAsia="仿宋_GB2312"/>
          <w:sz w:val="32"/>
          <w:szCs w:val="32"/>
        </w:rPr>
        <w:t>47.07</w:t>
      </w:r>
      <w:r>
        <w:rPr>
          <w:rFonts w:hint="eastAsia" w:ascii="仿宋_GB2312" w:hAnsi="宋体" w:eastAsia="仿宋_GB2312"/>
          <w:sz w:val="32"/>
          <w:szCs w:val="32"/>
        </w:rPr>
        <w:t>万元。其中，基本工资</w:t>
      </w:r>
      <w:r>
        <w:rPr>
          <w:rFonts w:ascii="仿宋_GB2312" w:hAnsi="宋体" w:eastAsia="仿宋_GB2312"/>
          <w:sz w:val="32"/>
          <w:szCs w:val="32"/>
        </w:rPr>
        <w:t>21.32</w:t>
      </w:r>
      <w:r>
        <w:rPr>
          <w:rFonts w:hint="eastAsia" w:ascii="仿宋_GB2312" w:hAnsi="宋体" w:eastAsia="仿宋_GB2312"/>
          <w:sz w:val="32"/>
          <w:szCs w:val="32"/>
        </w:rPr>
        <w:t>万元，津贴补贴</w:t>
      </w:r>
      <w:r>
        <w:rPr>
          <w:rFonts w:ascii="仿宋_GB2312" w:hAnsi="宋体" w:eastAsia="仿宋_GB2312"/>
          <w:sz w:val="32"/>
          <w:szCs w:val="32"/>
        </w:rPr>
        <w:t>11.94</w:t>
      </w:r>
      <w:r>
        <w:rPr>
          <w:rFonts w:hint="eastAsia" w:ascii="仿宋_GB2312" w:hAnsi="宋体" w:eastAsia="仿宋_GB2312"/>
          <w:sz w:val="32"/>
          <w:szCs w:val="32"/>
        </w:rPr>
        <w:t>万元，奖金</w:t>
      </w:r>
      <w:r>
        <w:rPr>
          <w:rFonts w:ascii="仿宋_GB2312" w:hAnsi="宋体" w:eastAsia="仿宋_GB2312"/>
          <w:sz w:val="32"/>
          <w:szCs w:val="32"/>
        </w:rPr>
        <w:t>1.78</w:t>
      </w:r>
      <w:r>
        <w:rPr>
          <w:rFonts w:hint="eastAsia" w:ascii="仿宋_GB2312" w:hAnsi="宋体" w:eastAsia="仿宋_GB2312"/>
          <w:sz w:val="32"/>
          <w:szCs w:val="32"/>
        </w:rPr>
        <w:t>万元，基本养老保险缴费</w:t>
      </w:r>
      <w:r>
        <w:rPr>
          <w:rFonts w:ascii="仿宋_GB2312" w:hAnsi="宋体" w:eastAsia="仿宋_GB2312"/>
          <w:sz w:val="32"/>
          <w:szCs w:val="32"/>
        </w:rPr>
        <w:t>5.13</w:t>
      </w:r>
      <w:r>
        <w:rPr>
          <w:rFonts w:hint="eastAsia" w:ascii="仿宋_GB2312" w:hAnsi="宋体" w:eastAsia="仿宋_GB2312"/>
          <w:sz w:val="32"/>
          <w:szCs w:val="32"/>
        </w:rPr>
        <w:t>万元，基本医疗保险缴费</w:t>
      </w:r>
      <w:r>
        <w:rPr>
          <w:rFonts w:ascii="仿宋_GB2312" w:hAnsi="宋体" w:eastAsia="仿宋_GB2312"/>
          <w:sz w:val="32"/>
          <w:szCs w:val="32"/>
        </w:rPr>
        <w:t>3.57</w:t>
      </w:r>
      <w:r>
        <w:rPr>
          <w:rFonts w:hint="eastAsia" w:ascii="仿宋_GB2312" w:hAnsi="宋体" w:eastAsia="仿宋_GB2312"/>
          <w:sz w:val="32"/>
          <w:szCs w:val="32"/>
        </w:rPr>
        <w:t>万元，其他社会保障缴费</w:t>
      </w:r>
      <w:r>
        <w:rPr>
          <w:rFonts w:ascii="仿宋_GB2312" w:hAnsi="宋体" w:eastAsia="仿宋_GB2312"/>
          <w:sz w:val="32"/>
          <w:szCs w:val="32"/>
        </w:rPr>
        <w:t>0.30</w:t>
      </w:r>
      <w:r>
        <w:rPr>
          <w:rFonts w:hint="eastAsia" w:ascii="仿宋_GB2312" w:hAnsi="宋体" w:eastAsia="仿宋_GB2312"/>
          <w:sz w:val="32"/>
          <w:szCs w:val="32"/>
        </w:rPr>
        <w:t>万元，住房公积金</w:t>
      </w:r>
      <w:r>
        <w:rPr>
          <w:rFonts w:ascii="仿宋_GB2312" w:hAnsi="宋体" w:eastAsia="仿宋_GB2312"/>
          <w:sz w:val="32"/>
          <w:szCs w:val="32"/>
        </w:rPr>
        <w:t>3.03</w:t>
      </w:r>
      <w:r>
        <w:rPr>
          <w:rFonts w:hint="eastAsia" w:ascii="仿宋_GB2312" w:hAnsi="宋体"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rPr>
          <w:rFonts w:ascii="仿宋_GB2312" w:hAnsi="宋体" w:eastAsia="仿宋_GB2312"/>
          <w:sz w:val="32"/>
          <w:szCs w:val="32"/>
        </w:rPr>
      </w:pPr>
      <w:r>
        <w:rPr>
          <w:rFonts w:hint="eastAsia" w:ascii="仿宋_GB2312" w:hAnsi="宋体" w:eastAsia="仿宋_GB2312"/>
          <w:sz w:val="32"/>
          <w:szCs w:val="32"/>
        </w:rPr>
        <w:t>对个人和家庭的补助支出</w:t>
      </w:r>
      <w:r>
        <w:rPr>
          <w:rFonts w:ascii="仿宋_GB2312" w:hAnsi="宋体" w:eastAsia="仿宋_GB2312"/>
          <w:sz w:val="32"/>
          <w:szCs w:val="32"/>
        </w:rPr>
        <w:t>1.92</w:t>
      </w:r>
      <w:r>
        <w:rPr>
          <w:rFonts w:hint="eastAsia" w:ascii="仿宋_GB2312" w:hAnsi="宋体" w:eastAsia="仿宋_GB2312"/>
          <w:sz w:val="32"/>
          <w:szCs w:val="32"/>
        </w:rPr>
        <w:t>万元。其中，生活补助</w:t>
      </w:r>
      <w:r>
        <w:rPr>
          <w:rFonts w:ascii="仿宋_GB2312" w:hAnsi="宋体" w:eastAsia="仿宋_GB2312"/>
          <w:sz w:val="32"/>
          <w:szCs w:val="32"/>
        </w:rPr>
        <w:t>1.92</w:t>
      </w:r>
      <w:r>
        <w:rPr>
          <w:rFonts w:hint="eastAsia" w:ascii="仿宋_GB2312" w:hAnsi="宋体" w:eastAsia="仿宋_GB2312"/>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ascii="仿宋_GB2312" w:hAnsi="宋体" w:eastAsia="仿宋_GB2312"/>
          <w:b/>
          <w:sz w:val="32"/>
          <w:szCs w:val="32"/>
        </w:rPr>
        <w:t>7.17</w:t>
      </w:r>
      <w:r>
        <w:rPr>
          <w:rFonts w:hint="eastAsia" w:ascii="仿宋_GB2312" w:hAnsi="宋体" w:eastAsia="仿宋_GB2312"/>
          <w:b/>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36" w:firstLineChars="199"/>
        <w:rPr>
          <w:rFonts w:ascii="仿宋_GB2312" w:hAnsi="宋体" w:eastAsia="仿宋_GB2312"/>
          <w:sz w:val="32"/>
          <w:szCs w:val="32"/>
        </w:rPr>
      </w:pPr>
      <w:r>
        <w:rPr>
          <w:rFonts w:hint="eastAsia" w:ascii="仿宋_GB2312" w:hAnsi="宋体" w:eastAsia="仿宋_GB2312"/>
          <w:sz w:val="32"/>
          <w:szCs w:val="32"/>
        </w:rPr>
        <w:t>基础定额项目费</w:t>
      </w:r>
      <w:r>
        <w:rPr>
          <w:rFonts w:ascii="仿宋_GB2312" w:hAnsi="宋体" w:eastAsia="仿宋_GB2312"/>
          <w:sz w:val="32"/>
          <w:szCs w:val="32"/>
        </w:rPr>
        <w:t>5.56</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3.36</w:t>
      </w:r>
      <w:r>
        <w:rPr>
          <w:rFonts w:hint="eastAsia" w:ascii="仿宋_GB2312" w:eastAsia="仿宋_GB2312"/>
          <w:sz w:val="32"/>
          <w:szCs w:val="32"/>
        </w:rPr>
        <w:t>万元</w:t>
      </w:r>
      <w:r>
        <w:rPr>
          <w:rFonts w:hint="eastAsia" w:ascii="仿宋_GB2312" w:hAnsi="宋体" w:eastAsia="仿宋_GB2312"/>
          <w:sz w:val="32"/>
          <w:szCs w:val="32"/>
        </w:rPr>
        <w:t>。</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36" w:firstLineChars="199"/>
        <w:rPr>
          <w:rFonts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1.61</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0.37</w:t>
      </w:r>
      <w:r>
        <w:rPr>
          <w:rFonts w:hint="eastAsia" w:ascii="仿宋_GB2312" w:hAnsi="宋体" w:eastAsia="仿宋_GB2312"/>
          <w:sz w:val="32"/>
          <w:szCs w:val="32"/>
        </w:rPr>
        <w:t>万元，其他商品和服务支出</w:t>
      </w:r>
      <w:r>
        <w:rPr>
          <w:rFonts w:ascii="仿宋_GB2312" w:hAnsi="宋体" w:eastAsia="仿宋_GB2312"/>
          <w:sz w:val="32"/>
          <w:szCs w:val="32"/>
        </w:rPr>
        <w:t>1.24</w:t>
      </w:r>
      <w:r>
        <w:rPr>
          <w:rFonts w:hint="eastAsia" w:ascii="仿宋_GB2312" w:hAnsi="宋体" w:eastAsia="仿宋_GB2312"/>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ascii="楷体_GB2312" w:hAnsi="宋体" w:eastAsia="楷体_GB2312"/>
          <w:b/>
          <w:sz w:val="32"/>
          <w:szCs w:val="32"/>
        </w:rPr>
        <w:t>4.00</w:t>
      </w:r>
      <w:r>
        <w:rPr>
          <w:rFonts w:hint="eastAsia" w:ascii="楷体_GB2312" w:hAnsi="宋体" w:eastAsia="楷体_GB2312"/>
          <w:b/>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rPr>
          <w:rFonts w:ascii="仿宋_GB2312" w:eastAsia="仿宋_GB2312"/>
          <w:sz w:val="30"/>
          <w:szCs w:val="30"/>
        </w:rPr>
      </w:pPr>
      <w:r>
        <w:rPr>
          <w:rFonts w:hint="eastAsia" w:ascii="仿宋_GB2312" w:hAnsi="宋体" w:eastAsia="仿宋_GB2312"/>
          <w:sz w:val="30"/>
          <w:szCs w:val="30"/>
        </w:rPr>
        <w:t>本年度预算收支安排</w:t>
      </w:r>
      <w:r>
        <w:rPr>
          <w:rFonts w:ascii="仿宋_GB2312" w:hAnsi="宋体" w:eastAsia="仿宋_GB2312"/>
          <w:sz w:val="30"/>
          <w:szCs w:val="30"/>
        </w:rPr>
        <w:t>60.16</w:t>
      </w:r>
      <w:r>
        <w:rPr>
          <w:rFonts w:hint="eastAsia" w:ascii="仿宋_GB2312" w:hAnsi="宋体" w:eastAsia="仿宋_GB2312"/>
          <w:sz w:val="30"/>
          <w:szCs w:val="30"/>
        </w:rPr>
        <w:t>万元，</w:t>
      </w:r>
      <w:r>
        <w:rPr>
          <w:rFonts w:ascii="仿宋_GB2312" w:hAnsi="宋体" w:eastAsia="仿宋_GB2312"/>
          <w:sz w:val="30"/>
          <w:szCs w:val="30"/>
        </w:rPr>
        <w:t>2018</w:t>
      </w:r>
      <w:r>
        <w:rPr>
          <w:rFonts w:hint="eastAsia" w:ascii="仿宋_GB2312" w:hAnsi="宋体" w:eastAsia="仿宋_GB2312"/>
          <w:sz w:val="30"/>
          <w:szCs w:val="30"/>
        </w:rPr>
        <w:t>年度预算收支安排</w:t>
      </w:r>
      <w:r>
        <w:rPr>
          <w:rFonts w:ascii="仿宋_GB2312" w:hAnsi="宋体" w:eastAsia="仿宋_GB2312"/>
          <w:sz w:val="30"/>
          <w:szCs w:val="30"/>
        </w:rPr>
        <w:t>60.10</w:t>
      </w:r>
      <w:r>
        <w:rPr>
          <w:rFonts w:hint="eastAsia" w:ascii="仿宋_GB2312" w:hAnsi="宋体" w:eastAsia="仿宋_GB2312"/>
          <w:sz w:val="30"/>
          <w:szCs w:val="30"/>
        </w:rPr>
        <w:t>万元，较上年增加</w:t>
      </w:r>
      <w:r>
        <w:rPr>
          <w:rFonts w:ascii="仿宋_GB2312" w:hAnsi="宋体" w:eastAsia="仿宋_GB2312"/>
          <w:sz w:val="30"/>
          <w:szCs w:val="30"/>
        </w:rPr>
        <w:t>0.06</w:t>
      </w:r>
      <w:r>
        <w:rPr>
          <w:rFonts w:hint="eastAsia" w:ascii="仿宋_GB2312" w:hAnsi="宋体" w:eastAsia="仿宋_GB2312"/>
          <w:sz w:val="30"/>
          <w:szCs w:val="30"/>
        </w:rPr>
        <w:t>万元。其中：基本支出增加</w:t>
      </w:r>
      <w:r>
        <w:rPr>
          <w:rFonts w:ascii="仿宋_GB2312" w:hAnsi="宋体" w:eastAsia="仿宋_GB2312"/>
          <w:sz w:val="30"/>
          <w:szCs w:val="30"/>
        </w:rPr>
        <w:t>1.27</w:t>
      </w:r>
      <w:r>
        <w:rPr>
          <w:rFonts w:hint="eastAsia" w:ascii="仿宋_GB2312" w:hAnsi="宋体" w:eastAsia="仿宋_GB2312"/>
          <w:sz w:val="30"/>
          <w:szCs w:val="30"/>
        </w:rPr>
        <w:t>万元，主要增加人员经费，因为职工工资增加；项目支出减少</w:t>
      </w:r>
      <w:r>
        <w:rPr>
          <w:rFonts w:ascii="仿宋_GB2312" w:hAnsi="宋体" w:eastAsia="仿宋_GB2312"/>
          <w:sz w:val="30"/>
          <w:szCs w:val="30"/>
        </w:rPr>
        <w:t>1.21</w:t>
      </w:r>
      <w:r>
        <w:rPr>
          <w:rFonts w:hint="eastAsia" w:ascii="仿宋_GB2312" w:hAnsi="宋体" w:eastAsia="仿宋_GB2312"/>
          <w:sz w:val="30"/>
          <w:szCs w:val="30"/>
        </w:rPr>
        <w:t>万元，比去年减少</w:t>
      </w:r>
      <w:r>
        <w:rPr>
          <w:rFonts w:hint="eastAsia" w:ascii="仿宋_GB2312" w:eastAsia="仿宋_GB2312"/>
          <w:sz w:val="32"/>
          <w:szCs w:val="32"/>
        </w:rPr>
        <w:t>采购电子政务联网涉密设备经费</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公用经费总体安排情况。机关工委</w:t>
      </w:r>
      <w:r>
        <w:rPr>
          <w:rFonts w:hint="eastAsia" w:ascii="仿宋_GB2312" w:hAnsi="宋体" w:eastAsia="仿宋_GB2312"/>
          <w:sz w:val="32"/>
          <w:szCs w:val="32"/>
        </w:rPr>
        <w:t>日常公用经费预算支出</w:t>
      </w:r>
      <w:r>
        <w:rPr>
          <w:rFonts w:ascii="仿宋_GB2312" w:hAnsi="宋体" w:eastAsia="仿宋_GB2312"/>
          <w:sz w:val="32"/>
          <w:szCs w:val="32"/>
        </w:rPr>
        <w:t>6.79</w:t>
      </w:r>
      <w:r>
        <w:rPr>
          <w:rFonts w:hint="eastAsia" w:ascii="仿宋_GB2312" w:hAnsi="宋体" w:eastAsia="仿宋_GB2312"/>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ascii="仿宋_GB2312" w:hAnsi="宋体" w:eastAsia="仿宋_GB2312"/>
          <w:sz w:val="32"/>
          <w:szCs w:val="32"/>
        </w:rPr>
        <w:t>5.56</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3.36</w:t>
      </w:r>
      <w:r>
        <w:rPr>
          <w:rFonts w:hint="eastAsia" w:ascii="仿宋_GB2312" w:eastAsia="仿宋_GB2312"/>
          <w:sz w:val="32"/>
          <w:szCs w:val="32"/>
        </w:rPr>
        <w:t>万元</w:t>
      </w:r>
      <w:r>
        <w:rPr>
          <w:rFonts w:hint="eastAsia" w:ascii="仿宋_GB2312" w:hAnsi="宋体" w:eastAsia="仿宋_GB2312"/>
          <w:sz w:val="32"/>
          <w:szCs w:val="32"/>
        </w:rPr>
        <w:t>。</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1.61</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0.37</w:t>
      </w:r>
      <w:r>
        <w:rPr>
          <w:rFonts w:hint="eastAsia" w:ascii="仿宋_GB2312" w:hAnsi="宋体" w:eastAsia="仿宋_GB2312"/>
          <w:sz w:val="32"/>
          <w:szCs w:val="32"/>
        </w:rPr>
        <w:t>万元，其他商品和服务支出</w:t>
      </w:r>
      <w:r>
        <w:rPr>
          <w:rFonts w:ascii="仿宋_GB2312" w:hAnsi="宋体" w:eastAsia="仿宋_GB2312"/>
          <w:sz w:val="32"/>
          <w:szCs w:val="32"/>
        </w:rPr>
        <w:t>1.24</w:t>
      </w:r>
      <w:r>
        <w:rPr>
          <w:rFonts w:hint="eastAsia" w:ascii="仿宋_GB2312" w:hAnsi="宋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keepNext w:val="0"/>
        <w:keepLines w:val="0"/>
        <w:pageBreakBefore w:val="0"/>
        <w:kinsoku/>
        <w:wordWrap/>
        <w:overflowPunct/>
        <w:topLinePunct w:val="0"/>
        <w:autoSpaceDE/>
        <w:autoSpaceDN/>
        <w:bidi w:val="0"/>
        <w:adjustRightInd/>
        <w:snapToGrid/>
        <w:spacing w:line="560" w:lineRule="exact"/>
        <w:ind w:right="0" w:rightChars="0"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2019</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2020</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r>
        <w:rPr>
          <w:rFonts w:hint="eastAsia" w:ascii="仿宋_GB2312" w:eastAsia="仿宋_GB2312"/>
          <w:sz w:val="32"/>
          <w:szCs w:val="32"/>
          <w:lang w:eastAsia="zh-CN"/>
        </w:rPr>
        <w:t>，与上年持平</w:t>
      </w:r>
      <w:r>
        <w:rPr>
          <w:rFonts w:hint="eastAsia" w:ascii="仿宋_GB2312" w:eastAsia="仿宋_GB2312"/>
          <w:sz w:val="32"/>
          <w:szCs w:val="32"/>
        </w:rPr>
        <w:t>。</w:t>
      </w:r>
    </w:p>
    <w:tbl>
      <w:tblPr>
        <w:tblStyle w:val="3"/>
        <w:tblpPr w:leftFromText="180" w:rightFromText="180" w:vertAnchor="text" w:horzAnchor="page" w:tblpX="902" w:tblpY="-156"/>
        <w:tblOverlap w:val="never"/>
        <w:tblW w:w="10460" w:type="dxa"/>
        <w:tblInd w:w="0" w:type="dxa"/>
        <w:tblLayout w:type="fixed"/>
        <w:tblCellMar>
          <w:top w:w="0" w:type="dxa"/>
          <w:left w:w="108" w:type="dxa"/>
          <w:bottom w:w="0" w:type="dxa"/>
          <w:right w:w="108" w:type="dxa"/>
        </w:tblCellMar>
      </w:tblPr>
      <w:tblGrid>
        <w:gridCol w:w="2561"/>
        <w:gridCol w:w="1757"/>
        <w:gridCol w:w="1757"/>
        <w:gridCol w:w="1204"/>
        <w:gridCol w:w="3181"/>
      </w:tblGrid>
      <w:tr>
        <w:tblPrEx>
          <w:tblCellMar>
            <w:top w:w="0" w:type="dxa"/>
            <w:left w:w="108" w:type="dxa"/>
            <w:bottom w:w="0" w:type="dxa"/>
            <w:right w:w="108" w:type="dxa"/>
          </w:tblCellMar>
        </w:tblPrEx>
        <w:trPr>
          <w:trHeight w:val="514" w:hRule="atLeast"/>
        </w:trPr>
        <w:tc>
          <w:tcPr>
            <w:tcW w:w="10460" w:type="dxa"/>
            <w:gridSpan w:val="5"/>
            <w:tcBorders>
              <w:top w:val="nil"/>
              <w:left w:val="nil"/>
              <w:bottom w:val="nil"/>
              <w:right w:val="nil"/>
            </w:tcBorders>
            <w:vAlign w:val="center"/>
          </w:tcPr>
          <w:p>
            <w:pPr>
              <w:widowControl/>
              <w:spacing w:line="520" w:lineRule="exact"/>
              <w:jc w:val="both"/>
              <w:rPr>
                <w:rFonts w:ascii="黑体" w:hAnsi="黑体" w:eastAsia="黑体"/>
                <w:sz w:val="32"/>
                <w:szCs w:val="32"/>
              </w:rPr>
            </w:pPr>
            <w:r>
              <w:rPr>
                <w:rFonts w:hint="eastAsia" w:ascii="仿宋_GB2312" w:hAnsi="仿宋_GB2312" w:eastAsia="仿宋_GB2312" w:cs="仿宋_GB2312"/>
                <w:b/>
                <w:bCs/>
                <w:sz w:val="32"/>
                <w:szCs w:val="32"/>
              </w:rPr>
              <w:t>“三公”经费预算情况及增减变化原因</w:t>
            </w:r>
          </w:p>
        </w:tc>
      </w:tr>
      <w:tr>
        <w:tblPrEx>
          <w:tblCellMar>
            <w:top w:w="0" w:type="dxa"/>
            <w:left w:w="108" w:type="dxa"/>
            <w:bottom w:w="0" w:type="dxa"/>
            <w:right w:w="108" w:type="dxa"/>
          </w:tblCellMar>
        </w:tblPrEx>
        <w:trPr>
          <w:trHeight w:val="309" w:hRule="atLeast"/>
        </w:trPr>
        <w:tc>
          <w:tcPr>
            <w:tcW w:w="2561" w:type="dxa"/>
            <w:tcBorders>
              <w:top w:val="nil"/>
              <w:left w:val="nil"/>
              <w:bottom w:val="nil"/>
              <w:right w:val="nil"/>
            </w:tcBorders>
            <w:vAlign w:val="center"/>
          </w:tcPr>
          <w:p>
            <w:pPr>
              <w:widowControl/>
              <w:jc w:val="left"/>
              <w:rPr>
                <w:rFonts w:ascii="宋体" w:hAnsi="宋体" w:cs="宋体"/>
                <w:kern w:val="0"/>
                <w:sz w:val="24"/>
              </w:rPr>
            </w:pPr>
          </w:p>
        </w:tc>
        <w:tc>
          <w:tcPr>
            <w:tcW w:w="1757" w:type="dxa"/>
            <w:tcBorders>
              <w:top w:val="nil"/>
              <w:left w:val="nil"/>
              <w:bottom w:val="nil"/>
              <w:right w:val="nil"/>
            </w:tcBorders>
            <w:vAlign w:val="center"/>
          </w:tcPr>
          <w:p>
            <w:pPr>
              <w:widowControl/>
              <w:jc w:val="left"/>
              <w:rPr>
                <w:rFonts w:ascii="宋体" w:hAnsi="宋体" w:cs="宋体"/>
                <w:kern w:val="0"/>
                <w:sz w:val="24"/>
              </w:rPr>
            </w:pPr>
          </w:p>
        </w:tc>
        <w:tc>
          <w:tcPr>
            <w:tcW w:w="1757" w:type="dxa"/>
            <w:tcBorders>
              <w:top w:val="nil"/>
              <w:left w:val="nil"/>
              <w:bottom w:val="nil"/>
              <w:right w:val="nil"/>
            </w:tcBorders>
            <w:vAlign w:val="center"/>
          </w:tcPr>
          <w:p>
            <w:pPr>
              <w:widowControl/>
              <w:jc w:val="left"/>
              <w:rPr>
                <w:rFonts w:ascii="宋体" w:hAnsi="宋体" w:cs="宋体"/>
                <w:kern w:val="0"/>
                <w:sz w:val="24"/>
              </w:rPr>
            </w:pPr>
          </w:p>
        </w:tc>
        <w:tc>
          <w:tcPr>
            <w:tcW w:w="1204" w:type="dxa"/>
            <w:tcBorders>
              <w:top w:val="nil"/>
              <w:left w:val="nil"/>
              <w:bottom w:val="nil"/>
              <w:right w:val="nil"/>
            </w:tcBorders>
            <w:vAlign w:val="center"/>
          </w:tcPr>
          <w:p>
            <w:pPr>
              <w:widowControl/>
              <w:jc w:val="left"/>
              <w:rPr>
                <w:rFonts w:ascii="宋体" w:hAnsi="宋体" w:cs="宋体"/>
                <w:kern w:val="0"/>
                <w:sz w:val="24"/>
              </w:rPr>
            </w:pPr>
          </w:p>
        </w:tc>
        <w:tc>
          <w:tcPr>
            <w:tcW w:w="3181" w:type="dxa"/>
            <w:tcBorders>
              <w:top w:val="nil"/>
              <w:left w:val="nil"/>
              <w:bottom w:val="nil"/>
              <w:right w:val="nil"/>
            </w:tcBorders>
            <w:vAlign w:val="center"/>
          </w:tcPr>
          <w:p>
            <w:pPr>
              <w:widowControl/>
              <w:jc w:val="right"/>
              <w:rPr>
                <w:rFonts w:ascii="宋体" w:hAnsi="宋体" w:cs="宋体"/>
                <w:kern w:val="0"/>
                <w:sz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318" w:hRule="atLeast"/>
        </w:trPr>
        <w:tc>
          <w:tcPr>
            <w:tcW w:w="25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7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2019年度预算</w:t>
            </w:r>
          </w:p>
        </w:tc>
        <w:tc>
          <w:tcPr>
            <w:tcW w:w="17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2020年度预算</w:t>
            </w:r>
          </w:p>
        </w:tc>
        <w:tc>
          <w:tcPr>
            <w:tcW w:w="120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增减金额</w:t>
            </w:r>
          </w:p>
        </w:tc>
        <w:tc>
          <w:tcPr>
            <w:tcW w:w="31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变化原因</w:t>
            </w:r>
          </w:p>
        </w:tc>
      </w:tr>
      <w:tr>
        <w:tblPrEx>
          <w:tblCellMar>
            <w:top w:w="0" w:type="dxa"/>
            <w:left w:w="108" w:type="dxa"/>
            <w:bottom w:w="0" w:type="dxa"/>
            <w:right w:w="108" w:type="dxa"/>
          </w:tblCellMar>
        </w:tblPrEx>
        <w:trPr>
          <w:trHeight w:val="318" w:hRule="atLeast"/>
        </w:trPr>
        <w:tc>
          <w:tcPr>
            <w:tcW w:w="256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因公出国经费</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0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8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无增减变化</w:t>
            </w:r>
          </w:p>
        </w:tc>
      </w:tr>
      <w:tr>
        <w:tblPrEx>
          <w:tblCellMar>
            <w:top w:w="0" w:type="dxa"/>
            <w:left w:w="108" w:type="dxa"/>
            <w:bottom w:w="0" w:type="dxa"/>
            <w:right w:w="108" w:type="dxa"/>
          </w:tblCellMar>
        </w:tblPrEx>
        <w:trPr>
          <w:trHeight w:val="318" w:hRule="atLeast"/>
        </w:trPr>
        <w:tc>
          <w:tcPr>
            <w:tcW w:w="256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0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8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无增减变化</w:t>
            </w:r>
          </w:p>
        </w:tc>
      </w:tr>
      <w:tr>
        <w:tblPrEx>
          <w:tblCellMar>
            <w:top w:w="0" w:type="dxa"/>
            <w:left w:w="108" w:type="dxa"/>
            <w:bottom w:w="0" w:type="dxa"/>
            <w:right w:w="108" w:type="dxa"/>
          </w:tblCellMar>
        </w:tblPrEx>
        <w:trPr>
          <w:trHeight w:val="573" w:hRule="atLeast"/>
        </w:trPr>
        <w:tc>
          <w:tcPr>
            <w:tcW w:w="256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公务用车维护经费</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0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8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公务用车改革后公车取消</w:t>
            </w:r>
          </w:p>
        </w:tc>
      </w:tr>
      <w:tr>
        <w:tblPrEx>
          <w:tblCellMar>
            <w:top w:w="0" w:type="dxa"/>
            <w:left w:w="108" w:type="dxa"/>
            <w:bottom w:w="0" w:type="dxa"/>
            <w:right w:w="108" w:type="dxa"/>
          </w:tblCellMar>
        </w:tblPrEx>
        <w:trPr>
          <w:trHeight w:val="855" w:hRule="atLeast"/>
        </w:trPr>
        <w:tc>
          <w:tcPr>
            <w:tcW w:w="256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公务接待费支出</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0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8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厉行节约，杜绝浪费</w:t>
            </w:r>
          </w:p>
        </w:tc>
      </w:tr>
      <w:tr>
        <w:tblPrEx>
          <w:tblCellMar>
            <w:top w:w="0" w:type="dxa"/>
            <w:left w:w="108" w:type="dxa"/>
            <w:bottom w:w="0" w:type="dxa"/>
            <w:right w:w="108" w:type="dxa"/>
          </w:tblCellMar>
        </w:tblPrEx>
        <w:trPr>
          <w:trHeight w:val="1436" w:hRule="atLeast"/>
        </w:trPr>
        <w:tc>
          <w:tcPr>
            <w:tcW w:w="256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0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8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我单位针对三公经费支出制定了</w:t>
            </w:r>
            <w:bookmarkStart w:id="1" w:name="_GoBack"/>
            <w:bookmarkEnd w:id="1"/>
            <w:r>
              <w:rPr>
                <w:rFonts w:hint="eastAsia" w:ascii="仿宋_GB2312" w:hAnsi="宋体" w:eastAsia="仿宋_GB2312" w:cs="宋体"/>
                <w:kern w:val="0"/>
                <w:sz w:val="18"/>
                <w:szCs w:val="18"/>
              </w:rPr>
              <w:t>严格的管理制度，认真执行中央八项规定，厉行节约，杜绝浪费。</w:t>
            </w:r>
            <w:r>
              <w:rPr>
                <w:rFonts w:hint="eastAsia" w:ascii="仿宋_GB2312" w:hAnsi="宋体" w:eastAsia="仿宋_GB2312" w:cs="宋体"/>
                <w:kern w:val="0"/>
                <w:sz w:val="18"/>
                <w:szCs w:val="18"/>
                <w:lang w:eastAsia="zh-CN"/>
              </w:rPr>
              <w:t>无</w:t>
            </w:r>
            <w:r>
              <w:rPr>
                <w:rFonts w:hint="eastAsia" w:ascii="仿宋_GB2312" w:hAnsi="宋体" w:eastAsia="仿宋_GB2312" w:cs="宋体"/>
                <w:kern w:val="0"/>
                <w:sz w:val="18"/>
                <w:szCs w:val="18"/>
              </w:rPr>
              <w:t>增减变化。</w:t>
            </w:r>
          </w:p>
        </w:tc>
      </w:tr>
    </w:tbl>
    <w:p>
      <w:pPr>
        <w:keepNext w:val="0"/>
        <w:keepLines w:val="0"/>
        <w:pageBreakBefore w:val="0"/>
        <w:kinsoku/>
        <w:wordWrap/>
        <w:overflowPunct/>
        <w:topLinePunct w:val="0"/>
        <w:autoSpaceDE/>
        <w:autoSpaceDN/>
        <w:bidi w:val="0"/>
        <w:adjustRightInd/>
        <w:snapToGrid/>
        <w:spacing w:line="560" w:lineRule="exact"/>
        <w:ind w:right="0" w:rightChars="0" w:firstLine="480" w:firstLineChars="150"/>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部门整体绩效目标</w:t>
      </w:r>
    </w:p>
    <w:p>
      <w:pPr>
        <w:keepNext w:val="0"/>
        <w:keepLines w:val="0"/>
        <w:pageBreakBefore w:val="0"/>
        <w:widowControl/>
        <w:kinsoku/>
        <w:wordWrap/>
        <w:overflowPunct/>
        <w:topLinePunct w:val="0"/>
        <w:autoSpaceDE/>
        <w:autoSpaceDN/>
        <w:bidi w:val="0"/>
        <w:adjustRightInd/>
        <w:snapToGrid/>
        <w:spacing w:line="560" w:lineRule="exact"/>
        <w:ind w:right="0" w:rightChars="0"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、抓好县直机关工委贯彻县委、县政府重要会议和重大决策的落实工作（全年）。</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、抓好年度党务工作督导检查（</w:t>
      </w:r>
      <w:r>
        <w:rPr>
          <w:rFonts w:ascii="仿宋_GB2312" w:hAnsi="宋体" w:eastAsia="仿宋_GB2312"/>
          <w:sz w:val="32"/>
          <w:szCs w:val="32"/>
        </w:rPr>
        <w:t>1-2</w:t>
      </w:r>
      <w:r>
        <w:rPr>
          <w:rFonts w:hint="eastAsia" w:ascii="仿宋_GB2312" w:hAnsi="宋体" w:eastAsia="仿宋_GB2312"/>
          <w:sz w:val="32"/>
          <w:szCs w:val="32"/>
        </w:rPr>
        <w:t>月份）。</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hint="eastAsia" w:ascii="仿宋_GB2312" w:hAnsi="宋体" w:eastAsia="仿宋_GB2312" w:cs="宋体"/>
          <w:bCs/>
          <w:kern w:val="0"/>
          <w:sz w:val="32"/>
          <w:szCs w:val="32"/>
        </w:rPr>
        <w:t>规范基层党组织换届选举工作，机关党组织按时换届率达到</w:t>
      </w:r>
      <w:r>
        <w:rPr>
          <w:rFonts w:ascii="仿宋_GB2312" w:hAnsi="宋体" w:eastAsia="仿宋_GB2312" w:cs="宋体"/>
          <w:bCs/>
          <w:kern w:val="0"/>
          <w:sz w:val="32"/>
          <w:szCs w:val="32"/>
        </w:rPr>
        <w:t>95%</w:t>
      </w:r>
      <w:r>
        <w:rPr>
          <w:rFonts w:hint="eastAsia" w:ascii="仿宋_GB2312" w:hAnsi="宋体" w:eastAsia="仿宋_GB2312" w:cs="宋体"/>
          <w:bCs/>
          <w:kern w:val="0"/>
          <w:sz w:val="32"/>
          <w:szCs w:val="32"/>
        </w:rPr>
        <w:t>以上（全年）。</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、抓好机关党务干部培训（</w:t>
      </w:r>
      <w:r>
        <w:rPr>
          <w:rFonts w:ascii="仿宋_GB2312" w:hAnsi="宋体" w:eastAsia="仿宋_GB2312"/>
          <w:sz w:val="32"/>
          <w:szCs w:val="32"/>
        </w:rPr>
        <w:t>3-4</w:t>
      </w:r>
      <w:r>
        <w:rPr>
          <w:rFonts w:hint="eastAsia" w:ascii="仿宋_GB2312" w:hAnsi="宋体" w:eastAsia="仿宋_GB2312"/>
          <w:sz w:val="32"/>
          <w:szCs w:val="32"/>
        </w:rPr>
        <w:t>月份）。</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、举办县直机关入党积极分子培训班（</w:t>
      </w:r>
      <w:r>
        <w:rPr>
          <w:rFonts w:ascii="仿宋_GB2312" w:hAnsi="宋体" w:eastAsia="仿宋_GB2312"/>
          <w:sz w:val="32"/>
          <w:szCs w:val="32"/>
        </w:rPr>
        <w:t>6</w:t>
      </w:r>
      <w:r>
        <w:rPr>
          <w:rFonts w:hint="eastAsia" w:ascii="仿宋_GB2312" w:hAnsi="宋体" w:eastAsia="仿宋_GB2312"/>
          <w:sz w:val="32"/>
          <w:szCs w:val="32"/>
        </w:rPr>
        <w:t>月份）。</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、做好党员信息数据库的整理，更新及上报工作（全年）。</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、进一步规范组织关系转移工作，确保党员组织关系能够即时接转（全年）。</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、开展好</w:t>
      </w:r>
      <w:r>
        <w:rPr>
          <w:rFonts w:hint="eastAsia" w:ascii="仿宋_GB2312" w:hAnsi="宋体" w:eastAsia="仿宋_GB2312"/>
          <w:sz w:val="32"/>
          <w:szCs w:val="32"/>
          <w:lang w:eastAsia="zh-CN"/>
        </w:rPr>
        <w:t>庆祝</w:t>
      </w:r>
      <w:r>
        <w:rPr>
          <w:rFonts w:hint="eastAsia" w:ascii="仿宋_GB2312" w:hAnsi="宋体" w:eastAsia="仿宋_GB2312"/>
          <w:sz w:val="32"/>
          <w:szCs w:val="32"/>
        </w:rPr>
        <w:t>建党</w:t>
      </w:r>
      <w:r>
        <w:rPr>
          <w:rFonts w:ascii="仿宋_GB2312" w:hAnsi="宋体" w:eastAsia="仿宋_GB2312"/>
          <w:sz w:val="32"/>
          <w:szCs w:val="32"/>
        </w:rPr>
        <w:t>99</w:t>
      </w:r>
      <w:r>
        <w:rPr>
          <w:rFonts w:hint="eastAsia" w:ascii="仿宋_GB2312" w:hAnsi="宋体" w:eastAsia="仿宋_GB2312"/>
          <w:sz w:val="32"/>
          <w:szCs w:val="32"/>
        </w:rPr>
        <w:t>周年系列活动，协同县委宣传部举办</w:t>
      </w:r>
      <w:r>
        <w:rPr>
          <w:rFonts w:hint="eastAsia" w:ascii="仿宋_GB2312" w:hAnsi="宋体" w:eastAsia="仿宋_GB2312"/>
          <w:sz w:val="32"/>
          <w:szCs w:val="32"/>
          <w:lang w:eastAsia="zh-CN"/>
        </w:rPr>
        <w:t>庆祝</w:t>
      </w:r>
      <w:r>
        <w:rPr>
          <w:rFonts w:hint="eastAsia" w:ascii="仿宋_GB2312" w:hAnsi="宋体" w:eastAsia="仿宋_GB2312"/>
          <w:sz w:val="32"/>
          <w:szCs w:val="32"/>
        </w:rPr>
        <w:t>建党</w:t>
      </w:r>
      <w:r>
        <w:rPr>
          <w:rFonts w:ascii="仿宋_GB2312" w:hAnsi="宋体" w:eastAsia="仿宋_GB2312"/>
          <w:sz w:val="32"/>
          <w:szCs w:val="32"/>
        </w:rPr>
        <w:t>99</w:t>
      </w:r>
      <w:r>
        <w:rPr>
          <w:rFonts w:hint="eastAsia" w:ascii="仿宋_GB2312" w:hAnsi="宋体" w:eastAsia="仿宋_GB2312"/>
          <w:sz w:val="32"/>
          <w:szCs w:val="32"/>
        </w:rPr>
        <w:t>周年歌咏比赛及文体活动（</w:t>
      </w: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月份）。</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、以“不忘初心、牢记使命”主题教育为重要载体，开展好“基层党建质量提升年”活动”、和“精准扶贫”工作（全年）。</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、举办县直机关党员培训班（</w:t>
      </w:r>
      <w:r>
        <w:rPr>
          <w:rFonts w:ascii="仿宋_GB2312" w:hAnsi="宋体" w:eastAsia="仿宋_GB2312"/>
          <w:sz w:val="32"/>
          <w:szCs w:val="32"/>
        </w:rPr>
        <w:t>11</w:t>
      </w:r>
      <w:r>
        <w:rPr>
          <w:rFonts w:hint="eastAsia" w:ascii="仿宋_GB2312" w:hAnsi="宋体" w:eastAsia="仿宋_GB2312"/>
          <w:sz w:val="32"/>
          <w:szCs w:val="32"/>
        </w:rPr>
        <w:t>、</w:t>
      </w:r>
      <w:r>
        <w:rPr>
          <w:rFonts w:ascii="仿宋_GB2312" w:hAnsi="宋体" w:eastAsia="仿宋_GB2312"/>
          <w:sz w:val="32"/>
          <w:szCs w:val="32"/>
        </w:rPr>
        <w:t>12</w:t>
      </w:r>
      <w:r>
        <w:rPr>
          <w:rFonts w:hint="eastAsia" w:ascii="仿宋_GB2312" w:hAnsi="宋体" w:eastAsia="仿宋_GB2312"/>
          <w:sz w:val="32"/>
          <w:szCs w:val="32"/>
        </w:rPr>
        <w:t>月份）。</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11</w:t>
      </w:r>
      <w:r>
        <w:rPr>
          <w:rFonts w:hint="eastAsia" w:ascii="仿宋_GB2312" w:hAnsi="宋体" w:eastAsia="仿宋_GB2312"/>
          <w:sz w:val="32"/>
          <w:szCs w:val="32"/>
        </w:rPr>
        <w:t>、进一步规范党费收缴工作（全年）。</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ascii="仿宋_GB2312" w:hAnsi="宋体" w:eastAsia="仿宋_GB2312"/>
          <w:sz w:val="32"/>
          <w:szCs w:val="32"/>
        </w:rPr>
        <w:t>12</w:t>
      </w:r>
      <w:r>
        <w:rPr>
          <w:rFonts w:hint="eastAsia" w:ascii="仿宋_GB2312" w:hAnsi="宋体" w:eastAsia="仿宋_GB2312"/>
          <w:sz w:val="32"/>
          <w:szCs w:val="32"/>
        </w:rPr>
        <w:t>、负责县直机关党员干部党风廉政建设的宣传教育，协同纪委及时查处县直机关党员违规违纪案件。</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b/>
          <w:sz w:val="32"/>
          <w:szCs w:val="32"/>
        </w:rPr>
      </w:pPr>
      <w:r>
        <w:rPr>
          <w:rFonts w:hint="eastAsia" w:ascii="仿宋_GB2312" w:hAnsi="宋体" w:eastAsia="仿宋_GB2312"/>
          <w:b/>
          <w:sz w:val="32"/>
          <w:szCs w:val="32"/>
        </w:rPr>
        <w:t>党建工作经费</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hint="eastAsia"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keepNext w:val="0"/>
        <w:keepLines w:val="0"/>
        <w:pageBreakBefore w:val="0"/>
        <w:kinsoku/>
        <w:wordWrap/>
        <w:overflowPunct/>
        <w:topLinePunct w:val="0"/>
        <w:autoSpaceDE/>
        <w:autoSpaceDN/>
        <w:bidi w:val="0"/>
        <w:adjustRightInd/>
        <w:snapToGrid/>
        <w:spacing w:line="560" w:lineRule="exact"/>
        <w:ind w:right="0" w:rightChars="0" w:firstLine="482"/>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482"/>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482"/>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482"/>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482"/>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zh-CN"/>
        </w:rPr>
        <w:t>第二部分</w:t>
      </w:r>
      <w:r>
        <w:rPr>
          <w:rFonts w:hint="eastAsia" w:asciiTheme="minorEastAsia" w:hAnsiTheme="minorEastAsia" w:eastAsiaTheme="minorEastAsia" w:cstheme="minorEastAsia"/>
          <w:b/>
          <w:bCs/>
          <w:sz w:val="21"/>
          <w:szCs w:val="21"/>
        </w:rPr>
        <w:t xml:space="preserve"> 预算项目绩效目标</w:t>
      </w:r>
    </w:p>
    <w:p>
      <w:pPr>
        <w:keepNext w:val="0"/>
        <w:keepLines w:val="0"/>
        <w:pageBreakBefore w:val="0"/>
        <w:kinsoku/>
        <w:wordWrap/>
        <w:overflowPunct/>
        <w:topLinePunct w:val="0"/>
        <w:autoSpaceDE/>
        <w:autoSpaceDN/>
        <w:bidi w:val="0"/>
        <w:adjustRightInd/>
        <w:snapToGrid/>
        <w:spacing w:line="560" w:lineRule="exact"/>
        <w:ind w:right="0" w:rightChars="0"/>
        <w:jc w:val="lef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党建工作经费绩效目标表</w:t>
      </w:r>
      <w:r>
        <w:rPr>
          <w:rFonts w:hint="eastAsia" w:asciiTheme="minorEastAsia" w:hAnsiTheme="minorEastAsia" w:eastAsiaTheme="minorEastAsia" w:cstheme="minorEastAsia"/>
          <w:b/>
          <w:sz w:val="21"/>
          <w:szCs w:val="21"/>
        </w:rPr>
        <w:fldChar w:fldCharType="begin"/>
      </w:r>
      <w:r>
        <w:rPr>
          <w:rFonts w:hint="eastAsia" w:asciiTheme="minorEastAsia" w:hAnsiTheme="minorEastAsia" w:eastAsiaTheme="minorEastAsia" w:cstheme="minorEastAsia"/>
          <w:b/>
          <w:sz w:val="21"/>
          <w:szCs w:val="21"/>
        </w:rPr>
        <w:instrText xml:space="preserve">tc "</w:instrText>
      </w:r>
      <w:bookmarkStart w:id="0" w:name="_Toc30001464"/>
      <w:r>
        <w:rPr>
          <w:rFonts w:hint="eastAsia" w:asciiTheme="minorEastAsia" w:hAnsiTheme="minorEastAsia" w:eastAsiaTheme="minorEastAsia" w:cstheme="minorEastAsia"/>
          <w:b/>
          <w:sz w:val="21"/>
          <w:szCs w:val="21"/>
        </w:rPr>
        <w:instrText xml:space="preserve">1、财政所工作经费绩效目标表</w:instrText>
      </w:r>
      <w:bookmarkEnd w:id="0"/>
      <w:r>
        <w:rPr>
          <w:rFonts w:hint="eastAsia" w:asciiTheme="minorEastAsia" w:hAnsiTheme="minorEastAsia" w:eastAsiaTheme="minorEastAsia" w:cstheme="minorEastAsia"/>
          <w:b/>
          <w:sz w:val="21"/>
          <w:szCs w:val="21"/>
        </w:rPr>
        <w:instrText xml:space="preserve">" \f C \l 01</w:instrText>
      </w:r>
      <w:r>
        <w:rPr>
          <w:rFonts w:hint="eastAsia" w:asciiTheme="minorEastAsia" w:hAnsiTheme="minorEastAsia" w:eastAsiaTheme="minorEastAsia" w:cstheme="minorEastAsia"/>
          <w:b/>
          <w:sz w:val="21"/>
          <w:szCs w:val="21"/>
        </w:rPr>
        <w:fldChar w:fldCharType="end"/>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286002中共涞水县委县直机关工作委员会</w:t>
            </w:r>
          </w:p>
        </w:tc>
        <w:tc>
          <w:tcPr>
            <w:tcW w:w="1701" w:type="dxa"/>
            <w:tcBorders>
              <w:top w:val="single" w:color="FFFFFF" w:sz="6" w:space="0"/>
              <w:left w:val="single" w:color="FFFFFF" w:sz="6" w:space="0"/>
              <w:right w:val="single" w:color="FFFFFF" w:sz="6"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项目编码</w:t>
            </w:r>
          </w:p>
        </w:tc>
        <w:tc>
          <w:tcPr>
            <w:tcW w:w="2410" w:type="dxa"/>
            <w:gridSpan w:val="2"/>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286-0402-JQN-MBC0</w:t>
            </w:r>
          </w:p>
        </w:tc>
        <w:tc>
          <w:tcPr>
            <w:tcW w:w="1587"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4281" w:type="dxa"/>
            <w:gridSpan w:val="3"/>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预算规模及资金用途</w:t>
            </w:r>
          </w:p>
        </w:tc>
        <w:tc>
          <w:tcPr>
            <w:tcW w:w="113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预算数</w:t>
            </w:r>
          </w:p>
        </w:tc>
        <w:tc>
          <w:tcPr>
            <w:tcW w:w="1276"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w:t>
            </w:r>
          </w:p>
        </w:tc>
        <w:tc>
          <w:tcPr>
            <w:tcW w:w="1587"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其中：财政资金</w:t>
            </w:r>
          </w:p>
        </w:tc>
        <w:tc>
          <w:tcPr>
            <w:tcW w:w="130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w:t>
            </w:r>
          </w:p>
        </w:tc>
        <w:tc>
          <w:tcPr>
            <w:tcW w:w="1276"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其他资金</w:t>
            </w:r>
          </w:p>
        </w:tc>
        <w:tc>
          <w:tcPr>
            <w:tcW w:w="1701"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outlineLvl w:val="1"/>
              <w:rPr>
                <w:rFonts w:hint="eastAsia" w:asciiTheme="minorEastAsia" w:hAnsiTheme="minorEastAsia" w:eastAsiaTheme="minorEastAsia" w:cstheme="minorEastAsia"/>
                <w:sz w:val="21"/>
                <w:szCs w:val="21"/>
              </w:rPr>
            </w:pPr>
          </w:p>
        </w:tc>
        <w:tc>
          <w:tcPr>
            <w:tcW w:w="8278" w:type="dxa"/>
            <w:gridSpan w:val="6"/>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主要用于：党员教育培训管理、七一慰问老党员组织文体活动、党务干部培训、入党积极分子和发展对象培训、县委交办的其他活动。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资金支出计划（%）</w:t>
            </w:r>
          </w:p>
        </w:tc>
        <w:tc>
          <w:tcPr>
            <w:tcW w:w="2410" w:type="dxa"/>
            <w:gridSpan w:val="2"/>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3月底</w:t>
            </w:r>
          </w:p>
        </w:tc>
        <w:tc>
          <w:tcPr>
            <w:tcW w:w="1587"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6月底</w:t>
            </w:r>
          </w:p>
        </w:tc>
        <w:tc>
          <w:tcPr>
            <w:tcW w:w="130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10月底</w:t>
            </w:r>
          </w:p>
        </w:tc>
        <w:tc>
          <w:tcPr>
            <w:tcW w:w="2977" w:type="dxa"/>
            <w:gridSpan w:val="2"/>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outlineLvl w:val="1"/>
              <w:rPr>
                <w:rFonts w:hint="eastAsia" w:asciiTheme="minorEastAsia" w:hAnsiTheme="minorEastAsia" w:eastAsiaTheme="minorEastAsia" w:cstheme="minorEastAsia"/>
                <w:sz w:val="21"/>
                <w:szCs w:val="21"/>
              </w:rPr>
            </w:pPr>
          </w:p>
        </w:tc>
        <w:tc>
          <w:tcPr>
            <w:tcW w:w="2410" w:type="dxa"/>
            <w:gridSpan w:val="2"/>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w:t>
            </w:r>
          </w:p>
        </w:tc>
        <w:tc>
          <w:tcPr>
            <w:tcW w:w="1587"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w:t>
            </w:r>
          </w:p>
        </w:tc>
        <w:tc>
          <w:tcPr>
            <w:tcW w:w="130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75.00</w:t>
            </w:r>
          </w:p>
        </w:tc>
        <w:tc>
          <w:tcPr>
            <w:tcW w:w="2977" w:type="dxa"/>
            <w:gridSpan w:val="2"/>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绩效目标</w:t>
            </w:r>
          </w:p>
        </w:tc>
        <w:tc>
          <w:tcPr>
            <w:tcW w:w="8278" w:type="dxa"/>
            <w:gridSpan w:val="6"/>
            <w:tcBorders>
              <w:bottom w:val="nil"/>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按时组织开展各项活动，确保各项活动顺利开展，取得成效。</w:t>
            </w:r>
          </w:p>
        </w:tc>
      </w:tr>
    </w:tbl>
    <w:p>
      <w:pPr>
        <w:keepNext w:val="0"/>
        <w:keepLines w:val="0"/>
        <w:pageBreakBefore w:val="0"/>
        <w:kinsoku/>
        <w:wordWrap/>
        <w:overflowPunct/>
        <w:topLinePunct w:val="0"/>
        <w:autoSpaceDE/>
        <w:autoSpaceDN/>
        <w:bidi w:val="0"/>
        <w:adjustRightInd/>
        <w:snapToGrid/>
        <w:spacing w:line="560" w:lineRule="exact"/>
        <w:ind w:right="0" w:rightChars="0"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3"/>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1134"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1276"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三级指标</w:t>
            </w:r>
          </w:p>
        </w:tc>
        <w:tc>
          <w:tcPr>
            <w:tcW w:w="2891"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绩效指标描述</w:t>
            </w:r>
          </w:p>
        </w:tc>
        <w:tc>
          <w:tcPr>
            <w:tcW w:w="1276"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w:t>
            </w:r>
          </w:p>
        </w:tc>
        <w:tc>
          <w:tcPr>
            <w:tcW w:w="1701"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rPr>
              <w:t>产出指标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数量指标</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党务干部党务工作考核优秀率</w:t>
            </w:r>
          </w:p>
        </w:tc>
        <w:tc>
          <w:tcPr>
            <w:tcW w:w="2891"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县直机关党务干部党务工作考核优秀的数量占考核总量的比例</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&gt;=90.00</w:t>
            </w:r>
            <w:r>
              <w:rPr>
                <w:rFonts w:hint="eastAsia" w:asciiTheme="minorEastAsia" w:hAnsiTheme="minorEastAsia" w:eastAsiaTheme="minorEastAsia" w:cstheme="minorEastAsia"/>
                <w:bCs/>
                <w:sz w:val="21"/>
                <w:szCs w:val="21"/>
              </w:rPr>
              <w:t>（%）</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rPr>
                <w:rFonts w:hint="eastAsia" w:asciiTheme="minorEastAsia" w:hAnsiTheme="minorEastAsia" w:eastAsiaTheme="minorEastAsia" w:cstheme="minorEastAsia"/>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质量指标</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重要活动县直党员干部参加人数占县直党员干部总数的比例</w:t>
            </w:r>
          </w:p>
        </w:tc>
        <w:tc>
          <w:tcPr>
            <w:tcW w:w="2891"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重要活动县直党员干部参加人数占县直党员干部总数的比例</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&gt;=90.00</w:t>
            </w:r>
            <w:r>
              <w:rPr>
                <w:rFonts w:hint="eastAsia" w:asciiTheme="minorEastAsia" w:hAnsiTheme="minorEastAsia" w:eastAsiaTheme="minorEastAsia" w:cstheme="minorEastAsia"/>
                <w:bCs/>
                <w:sz w:val="21"/>
                <w:szCs w:val="21"/>
              </w:rPr>
              <w:t>（%）</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rPr>
              <w:t>效果指标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社会效益指标</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思想教育活动完成率</w:t>
            </w:r>
          </w:p>
        </w:tc>
        <w:tc>
          <w:tcPr>
            <w:tcW w:w="2891"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年度内已完成的思想教育活动量占计划量的比例</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&gt;=90.00</w:t>
            </w:r>
            <w:r>
              <w:rPr>
                <w:rFonts w:hint="eastAsia" w:asciiTheme="minorEastAsia" w:hAnsiTheme="minorEastAsia" w:eastAsiaTheme="minorEastAsia" w:cstheme="minorEastAsia"/>
                <w:bCs/>
                <w:sz w:val="21"/>
                <w:szCs w:val="21"/>
              </w:rPr>
              <w:t>（%）</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依据领导批示</w:t>
            </w:r>
          </w:p>
        </w:tc>
      </w:tr>
    </w:tbl>
    <w:p>
      <w:pPr>
        <w:keepNext w:val="0"/>
        <w:keepLines w:val="0"/>
        <w:pageBreakBefore w:val="0"/>
        <w:kinsoku/>
        <w:wordWrap/>
        <w:overflowPunct/>
        <w:topLinePunct w:val="0"/>
        <w:autoSpaceDE/>
        <w:autoSpaceDN/>
        <w:bidi w:val="0"/>
        <w:adjustRightInd/>
        <w:snapToGrid/>
        <w:spacing w:line="560" w:lineRule="exact"/>
        <w:ind w:right="0" w:rightChars="0" w:firstLine="482"/>
        <w:rPr>
          <w:rFonts w:ascii="仿宋_GB2312" w:hAnsi="宋体"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县直工委本年度部门预算没有安排政府采购项目。</w:t>
      </w: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keepNext w:val="0"/>
        <w:keepLines w:val="0"/>
        <w:pageBreakBefore w:val="0"/>
        <w:widowControl/>
        <w:kinsoku/>
        <w:wordWrap/>
        <w:overflowPunct/>
        <w:topLinePunct w:val="0"/>
        <w:autoSpaceDE/>
        <w:autoSpaceDN/>
        <w:bidi w:val="0"/>
        <w:adjustRightInd/>
        <w:snapToGrid/>
        <w:spacing w:line="560" w:lineRule="exact"/>
        <w:ind w:right="0" w:rightChars="0"/>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县直工委在县委大楼五楼办公，共占用三间房。</w:t>
      </w:r>
      <w:r>
        <w:rPr>
          <w:rFonts w:hint="eastAsia" w:ascii="仿宋_GB2312" w:hAnsi="仿宋" w:eastAsia="仿宋_GB2312" w:cs="仿宋"/>
          <w:bCs/>
          <w:kern w:val="0"/>
          <w:sz w:val="32"/>
          <w:szCs w:val="32"/>
          <w:lang w:val="en-US" w:eastAsia="zh-CN"/>
        </w:rPr>
        <w:t>2019</w:t>
      </w:r>
      <w:r>
        <w:rPr>
          <w:rFonts w:hint="eastAsia" w:ascii="仿宋_GB2312" w:hAnsi="仿宋" w:eastAsia="仿宋_GB2312" w:cs="仿宋"/>
          <w:bCs/>
          <w:kern w:val="0"/>
          <w:sz w:val="32"/>
          <w:szCs w:val="32"/>
        </w:rPr>
        <w:t>年</w:t>
      </w:r>
      <w:r>
        <w:rPr>
          <w:rFonts w:hint="eastAsia" w:ascii="仿宋_GB2312" w:hAnsi="仿宋" w:eastAsia="仿宋_GB2312" w:cs="仿宋"/>
          <w:kern w:val="0"/>
          <w:sz w:val="32"/>
          <w:szCs w:val="32"/>
        </w:rPr>
        <w:t>末固定资产总额</w:t>
      </w:r>
      <w:r>
        <w:rPr>
          <w:rFonts w:ascii="仿宋_GB2312" w:hAnsi="仿宋" w:eastAsia="仿宋_GB2312" w:cs="仿宋"/>
          <w:kern w:val="0"/>
          <w:sz w:val="32"/>
          <w:szCs w:val="32"/>
        </w:rPr>
        <w:t>3.59</w:t>
      </w:r>
      <w:r>
        <w:rPr>
          <w:rFonts w:hint="eastAsia" w:ascii="仿宋_GB2312" w:hAnsi="仿宋" w:eastAsia="仿宋_GB2312" w:cs="仿宋"/>
          <w:kern w:val="0"/>
          <w:sz w:val="32"/>
          <w:szCs w:val="32"/>
        </w:rPr>
        <w:t>万元</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lang w:val="en-US" w:eastAsia="zh-CN"/>
        </w:rPr>
        <w:t>2020年无拟购置资产计划</w:t>
      </w:r>
      <w:r>
        <w:rPr>
          <w:rFonts w:hint="eastAsia" w:ascii="仿宋_GB2312" w:hAnsi="仿宋" w:eastAsia="仿宋_GB2312" w:cs="仿宋"/>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hint="eastAsia" w:ascii="仿宋_GB2312" w:hAnsi="仿宋" w:eastAsia="仿宋_GB2312" w:cs="仿宋"/>
          <w:bCs/>
          <w:kern w:val="0"/>
          <w:sz w:val="32"/>
          <w:szCs w:val="32"/>
        </w:rPr>
        <w:t>上年</w:t>
      </w:r>
      <w:r>
        <w:rPr>
          <w:rFonts w:hint="eastAsia" w:ascii="仿宋_GB2312" w:hAnsi="仿宋" w:eastAsia="仿宋_GB2312" w:cs="仿宋"/>
          <w:kern w:val="0"/>
          <w:sz w:val="32"/>
          <w:szCs w:val="32"/>
        </w:rPr>
        <w:t>末固定资产货物类</w:t>
      </w:r>
      <w:r>
        <w:rPr>
          <w:rFonts w:ascii="仿宋_GB2312" w:hAnsi="仿宋" w:eastAsia="仿宋_GB2312" w:cs="仿宋"/>
          <w:kern w:val="0"/>
          <w:sz w:val="32"/>
          <w:szCs w:val="32"/>
        </w:rPr>
        <w:t>12</w:t>
      </w:r>
      <w:r>
        <w:rPr>
          <w:rFonts w:hint="eastAsia" w:ascii="仿宋_GB2312" w:hAnsi="仿宋" w:eastAsia="仿宋_GB2312" w:cs="仿宋"/>
          <w:kern w:val="0"/>
          <w:sz w:val="32"/>
          <w:szCs w:val="32"/>
        </w:rPr>
        <w:t>个，总额</w:t>
      </w:r>
      <w:r>
        <w:rPr>
          <w:rFonts w:ascii="仿宋_GB2312" w:hAnsi="仿宋" w:eastAsia="仿宋_GB2312" w:cs="仿宋"/>
          <w:kern w:val="0"/>
          <w:sz w:val="32"/>
          <w:szCs w:val="32"/>
        </w:rPr>
        <w:t>3.59</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M2620D</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月份购奔图</w:t>
      </w:r>
      <w:r>
        <w:rPr>
          <w:rFonts w:ascii="仿宋_GB2312" w:hAnsi="仿宋" w:eastAsia="仿宋_GB2312" w:cs="仿宋"/>
          <w:kern w:val="0"/>
          <w:sz w:val="32"/>
          <w:szCs w:val="32"/>
        </w:rPr>
        <w:t>PI050</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0.17</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ascii="仿宋_GB2312" w:hAnsi="仿宋" w:eastAsia="仿宋_GB2312" w:cs="仿宋"/>
          <w:kern w:val="0"/>
          <w:sz w:val="32"/>
          <w:szCs w:val="32"/>
        </w:rPr>
        <w:t>2012</w:t>
      </w:r>
      <w:r>
        <w:rPr>
          <w:rFonts w:hint="eastAsia" w:ascii="仿宋_GB2312" w:hAnsi="仿宋" w:eastAsia="仿宋_GB2312" w:cs="仿宋"/>
          <w:kern w:val="0"/>
          <w:sz w:val="32"/>
          <w:szCs w:val="32"/>
        </w:rPr>
        <w:t>年</w:t>
      </w:r>
      <w:r>
        <w:rPr>
          <w:rFonts w:ascii="仿宋_GB2312" w:hAnsi="仿宋" w:eastAsia="仿宋_GB2312" w:cs="仿宋"/>
          <w:kern w:val="0"/>
          <w:sz w:val="32"/>
          <w:szCs w:val="32"/>
        </w:rPr>
        <w:t>6</w:t>
      </w:r>
      <w:r>
        <w:rPr>
          <w:rFonts w:hint="eastAsia" w:ascii="仿宋_GB2312" w:hAnsi="仿宋" w:eastAsia="仿宋_GB2312" w:cs="仿宋"/>
          <w:kern w:val="0"/>
          <w:sz w:val="32"/>
          <w:szCs w:val="32"/>
        </w:rPr>
        <w:t>月份购格兰仕</w:t>
      </w:r>
      <w:r>
        <w:rPr>
          <w:rFonts w:ascii="仿宋_GB2312" w:hAnsi="仿宋" w:eastAsia="仿宋_GB2312" w:cs="仿宋"/>
          <w:kern w:val="0"/>
          <w:sz w:val="32"/>
          <w:szCs w:val="32"/>
        </w:rPr>
        <w:t>KFR-32D2257</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月份购美的</w:t>
      </w:r>
      <w:r>
        <w:rPr>
          <w:rFonts w:ascii="仿宋_GB2312" w:hAnsi="仿宋" w:eastAsia="仿宋_GB2312" w:cs="仿宋"/>
          <w:kern w:val="0"/>
          <w:sz w:val="32"/>
          <w:szCs w:val="32"/>
        </w:rPr>
        <w:t>KFR-23GW/DY-IA(R3)</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0.19</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w:t>
      </w:r>
      <w:r>
        <w:rPr>
          <w:rFonts w:hint="eastAsia" w:ascii="仿宋_GB2312" w:hAnsi="仿宋" w:eastAsia="仿宋_GB2312" w:cs="仿宋"/>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5</w:t>
      </w:r>
      <w:r>
        <w:rPr>
          <w:rFonts w:hint="eastAsia" w:ascii="仿宋_GB2312" w:hAnsi="仿宋" w:eastAsia="仿宋_GB2312" w:cs="仿宋"/>
          <w:kern w:val="0"/>
          <w:sz w:val="32"/>
          <w:szCs w:val="32"/>
        </w:rPr>
        <w:t>、</w:t>
      </w:r>
      <w:r>
        <w:rPr>
          <w:rFonts w:ascii="仿宋_GB2312" w:hAnsi="仿宋" w:eastAsia="仿宋_GB2312" w:cs="仿宋"/>
          <w:kern w:val="0"/>
          <w:sz w:val="32"/>
          <w:szCs w:val="32"/>
        </w:rPr>
        <w:t>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月份购酷睿</w:t>
      </w:r>
      <w:r>
        <w:rPr>
          <w:rFonts w:ascii="仿宋_GB2312" w:hAnsi="仿宋" w:eastAsia="仿宋_GB2312" w:cs="仿宋"/>
          <w:kern w:val="0"/>
          <w:sz w:val="32"/>
          <w:szCs w:val="32"/>
        </w:rPr>
        <w:t>i3-3220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0.34</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lenovo-2380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0.4</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7</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新园梦</w:t>
      </w:r>
      <w:r>
        <w:rPr>
          <w:rFonts w:ascii="仿宋_GB2312" w:hAnsi="仿宋" w:eastAsia="仿宋_GB2312" w:cs="仿宋"/>
          <w:kern w:val="0"/>
          <w:sz w:val="32"/>
          <w:szCs w:val="32"/>
        </w:rPr>
        <w:t>F2997</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0.35</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8</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TP-LINK</w:t>
      </w:r>
      <w:r>
        <w:rPr>
          <w:rFonts w:hint="eastAsia" w:ascii="仿宋_GB2312" w:hAnsi="仿宋" w:eastAsia="仿宋_GB2312" w:cs="仿宋"/>
          <w:kern w:val="0"/>
          <w:sz w:val="32"/>
          <w:szCs w:val="32"/>
        </w:rPr>
        <w:t>路由器一个，价值</w:t>
      </w:r>
      <w:r>
        <w:rPr>
          <w:rFonts w:ascii="仿宋_GB2312" w:hAnsi="仿宋" w:eastAsia="仿宋_GB2312" w:cs="仿宋"/>
          <w:kern w:val="0"/>
          <w:sz w:val="32"/>
          <w:szCs w:val="32"/>
        </w:rPr>
        <w:t>0.02</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9</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7</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T4900d</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10</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10</w:t>
      </w:r>
      <w:r>
        <w:rPr>
          <w:rFonts w:hint="eastAsia" w:ascii="仿宋_GB2312" w:hAnsi="仿宋" w:eastAsia="仿宋_GB2312" w:cs="仿宋"/>
          <w:kern w:val="0"/>
          <w:sz w:val="32"/>
          <w:szCs w:val="32"/>
        </w:rPr>
        <w:t>月份购联想商用机</w:t>
      </w:r>
      <w:r>
        <w:rPr>
          <w:rFonts w:ascii="仿宋_GB2312" w:hAnsi="仿宋" w:eastAsia="仿宋_GB2312" w:cs="仿宋"/>
          <w:kern w:val="0"/>
          <w:sz w:val="32"/>
          <w:szCs w:val="32"/>
        </w:rPr>
        <w:t>-</w:t>
      </w:r>
      <w:r>
        <w:rPr>
          <w:rFonts w:hint="eastAsia" w:ascii="仿宋_GB2312" w:hAnsi="仿宋" w:eastAsia="仿宋_GB2312" w:cs="仿宋"/>
          <w:kern w:val="0"/>
          <w:sz w:val="32"/>
          <w:szCs w:val="32"/>
        </w:rPr>
        <w:t>启天</w:t>
      </w:r>
      <w:r>
        <w:rPr>
          <w:rFonts w:ascii="仿宋_GB2312" w:hAnsi="仿宋" w:eastAsia="仿宋_GB2312" w:cs="仿宋"/>
          <w:kern w:val="0"/>
          <w:sz w:val="32"/>
          <w:szCs w:val="32"/>
        </w:rPr>
        <w:t>M4550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0.46</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11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3</w:t>
      </w:r>
      <w:r>
        <w:rPr>
          <w:rFonts w:hint="eastAsia" w:ascii="仿宋_GB2312" w:hAnsi="仿宋" w:eastAsia="仿宋_GB2312" w:cs="仿宋"/>
          <w:kern w:val="0"/>
          <w:sz w:val="32"/>
          <w:szCs w:val="32"/>
        </w:rPr>
        <w:t>月份购联想杨天</w:t>
      </w:r>
      <w:r>
        <w:rPr>
          <w:rFonts w:ascii="仿宋_GB2312" w:hAnsi="仿宋" w:eastAsia="仿宋_GB2312" w:cs="仿宋"/>
          <w:kern w:val="0"/>
          <w:sz w:val="32"/>
          <w:szCs w:val="32"/>
        </w:rPr>
        <w:t>4900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60"/>
        <w:rPr>
          <w:rFonts w:ascii="仿宋_GB2312" w:hAnsi="仿宋" w:eastAsia="仿宋_GB2312" w:cs="仿宋"/>
          <w:kern w:val="0"/>
          <w:sz w:val="32"/>
          <w:szCs w:val="32"/>
        </w:rPr>
      </w:pPr>
      <w:r>
        <w:rPr>
          <w:rFonts w:ascii="仿宋_GB2312" w:hAnsi="仿宋" w:eastAsia="仿宋_GB2312" w:cs="仿宋"/>
          <w:kern w:val="0"/>
          <w:sz w:val="32"/>
          <w:szCs w:val="32"/>
        </w:rPr>
        <w:t>12</w:t>
      </w:r>
      <w:r>
        <w:rPr>
          <w:rFonts w:hint="eastAsia" w:ascii="仿宋_GB2312" w:hAnsi="仿宋" w:eastAsia="仿宋_GB2312" w:cs="仿宋"/>
          <w:kern w:val="0"/>
          <w:sz w:val="32"/>
          <w:szCs w:val="32"/>
        </w:rPr>
        <w:t>、</w:t>
      </w:r>
      <w:r>
        <w:rPr>
          <w:rFonts w:ascii="仿宋_GB2312" w:hAnsi="仿宋" w:eastAsia="仿宋_GB2312" w:cs="仿宋"/>
          <w:kern w:val="0"/>
          <w:sz w:val="32"/>
          <w:szCs w:val="32"/>
        </w:rPr>
        <w:t>2019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3</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1831</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p>
    <w:p>
      <w:pPr>
        <w:pStyle w:val="2"/>
        <w:shd w:val="clear" w:color="auto" w:fill="FFFFFF"/>
        <w:spacing w:line="520" w:lineRule="exact"/>
        <w:ind w:firstLine="640"/>
        <w:rPr>
          <w:rFonts w:hint="eastAsia"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固定资产占用情况表</w:t>
      </w:r>
    </w:p>
    <w:p>
      <w:pPr>
        <w:pStyle w:val="2"/>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截止时间：2019年12月31日</w:t>
      </w:r>
      <w:r>
        <w:rPr>
          <w:rFonts w:hint="eastAsia" w:ascii="仿宋_GB2312" w:eastAsia="仿宋_GB2312"/>
          <w:sz w:val="32"/>
          <w:szCs w:val="32"/>
        </w:rPr>
        <w:t xml:space="preserve">   </w:t>
      </w:r>
    </w:p>
    <w:tbl>
      <w:tblPr>
        <w:tblStyle w:val="3"/>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hint="eastAsia" w:ascii="仿宋_GB2312" w:eastAsia="仿宋_GB2312"/>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hint="eastAsia" w:ascii="仿宋_GB2312" w:eastAsia="仿宋_GB2312"/>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hint="eastAsia"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hint="eastAsia" w:ascii="仿宋_GB2312" w:eastAsia="仿宋_GB2312"/>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hint="eastAsia" w:ascii="仿宋_GB2312" w:eastAsia="仿宋_GB2312"/>
                <w:sz w:val="32"/>
                <w:szCs w:val="32"/>
              </w:rPr>
            </w:pPr>
            <w:r>
              <w:rPr>
                <w:rFonts w:hint="eastAsia" w:ascii="宋体" w:hAnsi="宋体" w:cs="宋体"/>
                <w:color w:val="000000"/>
                <w:kern w:val="0"/>
                <w:sz w:val="24"/>
              </w:rPr>
              <w:t>—</w:t>
            </w:r>
          </w:p>
        </w:tc>
        <w:tc>
          <w:tcPr>
            <w:tcW w:w="3902" w:type="dxa"/>
            <w:vAlign w:val="center"/>
          </w:tcPr>
          <w:p>
            <w:pPr>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hint="eastAsia" w:ascii="仿宋_GB2312" w:eastAsia="仿宋_GB2312"/>
                <w:sz w:val="32"/>
                <w:szCs w:val="32"/>
              </w:rPr>
            </w:pPr>
            <w:r>
              <w:rPr>
                <w:rFonts w:hint="eastAsia" w:ascii="宋体" w:hAnsi="宋体" w:cs="宋体"/>
                <w:color w:val="000000"/>
                <w:kern w:val="0"/>
                <w:sz w:val="24"/>
              </w:rPr>
              <w:t xml:space="preserve">  1、房屋（平方米）</w:t>
            </w:r>
          </w:p>
        </w:tc>
        <w:tc>
          <w:tcPr>
            <w:tcW w:w="1033" w:type="dxa"/>
            <w:vAlign w:val="center"/>
          </w:tcPr>
          <w:p>
            <w:pPr>
              <w:widowControl/>
              <w:jc w:val="center"/>
              <w:rPr>
                <w:rFonts w:hint="eastAsia" w:ascii="仿宋_GB2312" w:eastAsia="仿宋_GB2312"/>
                <w:sz w:val="32"/>
                <w:szCs w:val="32"/>
              </w:rPr>
            </w:pPr>
          </w:p>
        </w:tc>
        <w:tc>
          <w:tcPr>
            <w:tcW w:w="3902" w:type="dxa"/>
            <w:vAlign w:val="center"/>
          </w:tcPr>
          <w:p>
            <w:pPr>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hint="eastAsia" w:ascii="仿宋_GB2312" w:eastAsia="仿宋_GB2312"/>
                <w:sz w:val="32"/>
                <w:szCs w:val="32"/>
              </w:rPr>
            </w:pPr>
            <w:r>
              <w:rPr>
                <w:rFonts w:hint="eastAsia" w:ascii="宋体" w:hAnsi="宋体" w:cs="宋体"/>
                <w:color w:val="000000"/>
                <w:kern w:val="0"/>
                <w:sz w:val="24"/>
              </w:rPr>
              <w:t xml:space="preserve">   其中：办公用房（平方米）</w:t>
            </w:r>
          </w:p>
        </w:tc>
        <w:tc>
          <w:tcPr>
            <w:tcW w:w="1033" w:type="dxa"/>
            <w:vAlign w:val="center"/>
          </w:tcPr>
          <w:p>
            <w:pPr>
              <w:jc w:val="center"/>
              <w:rPr>
                <w:rFonts w:hint="eastAsia" w:ascii="仿宋_GB2312" w:eastAsia="仿宋_GB2312"/>
                <w:sz w:val="32"/>
                <w:szCs w:val="32"/>
              </w:rPr>
            </w:pPr>
          </w:p>
        </w:tc>
        <w:tc>
          <w:tcPr>
            <w:tcW w:w="3902" w:type="dxa"/>
            <w:vAlign w:val="center"/>
          </w:tcPr>
          <w:p>
            <w:pPr>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hint="eastAsia" w:ascii="仿宋_GB2312" w:eastAsia="仿宋_GB2312"/>
                <w:sz w:val="32"/>
                <w:szCs w:val="32"/>
              </w:rPr>
            </w:pPr>
            <w:r>
              <w:rPr>
                <w:rFonts w:hint="eastAsia" w:ascii="宋体" w:hAnsi="宋体" w:cs="宋体"/>
                <w:color w:val="000000"/>
                <w:kern w:val="0"/>
                <w:sz w:val="24"/>
              </w:rPr>
              <w:t xml:space="preserve">  2、车辆（台、辆）</w:t>
            </w:r>
          </w:p>
        </w:tc>
        <w:tc>
          <w:tcPr>
            <w:tcW w:w="1033" w:type="dxa"/>
            <w:vAlign w:val="center"/>
          </w:tcPr>
          <w:p>
            <w:pPr>
              <w:widowControl/>
              <w:jc w:val="center"/>
              <w:rPr>
                <w:rFonts w:hint="eastAsia" w:ascii="仿宋_GB2312" w:eastAsia="仿宋_GB2312"/>
                <w:sz w:val="32"/>
                <w:szCs w:val="32"/>
              </w:rPr>
            </w:pPr>
          </w:p>
        </w:tc>
        <w:tc>
          <w:tcPr>
            <w:tcW w:w="3902" w:type="dxa"/>
            <w:vAlign w:val="center"/>
          </w:tcPr>
          <w:p>
            <w:pPr>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hint="eastAsia" w:ascii="仿宋_GB2312" w:eastAsia="仿宋_GB2312"/>
                <w:sz w:val="32"/>
                <w:szCs w:val="32"/>
              </w:rPr>
            </w:pPr>
            <w:r>
              <w:rPr>
                <w:rFonts w:hint="eastAsia" w:ascii="宋体" w:hAnsi="宋体" w:cs="宋体"/>
                <w:color w:val="000000"/>
                <w:kern w:val="0"/>
                <w:sz w:val="24"/>
              </w:rPr>
              <w:t xml:space="preserve">  3、单价在20万元以上的设备</w:t>
            </w:r>
          </w:p>
        </w:tc>
        <w:tc>
          <w:tcPr>
            <w:tcW w:w="1033" w:type="dxa"/>
            <w:vAlign w:val="center"/>
          </w:tcPr>
          <w:p>
            <w:pPr>
              <w:widowControl/>
              <w:jc w:val="center"/>
              <w:rPr>
                <w:rFonts w:hint="eastAsia" w:ascii="仿宋_GB2312" w:eastAsia="仿宋_GB2312"/>
                <w:sz w:val="32"/>
                <w:szCs w:val="32"/>
              </w:rPr>
            </w:pPr>
            <w:r>
              <w:rPr>
                <w:rFonts w:hint="eastAsia" w:ascii="宋体" w:hAnsi="宋体" w:cs="宋体"/>
                <w:color w:val="000000"/>
                <w:kern w:val="0"/>
                <w:sz w:val="24"/>
              </w:rPr>
              <w:t>—</w:t>
            </w:r>
          </w:p>
        </w:tc>
        <w:tc>
          <w:tcPr>
            <w:tcW w:w="3902" w:type="dxa"/>
            <w:vAlign w:val="center"/>
          </w:tcPr>
          <w:p>
            <w:pPr>
              <w:jc w:val="center"/>
              <w:rPr>
                <w:rFonts w:hint="eastAsia" w:ascii="宋体" w:hAnsi="宋体" w:cs="宋体"/>
                <w:color w:val="000000"/>
                <w:kern w:val="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hint="eastAsia" w:ascii="仿宋_GB2312" w:eastAsia="仿宋_GB2312"/>
                <w:sz w:val="32"/>
                <w:szCs w:val="32"/>
              </w:rPr>
            </w:pPr>
            <w:r>
              <w:rPr>
                <w:rFonts w:hint="eastAsia" w:ascii="宋体" w:hAnsi="宋体" w:cs="宋体"/>
                <w:color w:val="000000"/>
                <w:kern w:val="0"/>
                <w:sz w:val="24"/>
              </w:rPr>
              <w:t xml:space="preserve">  4、其他固定资产</w:t>
            </w:r>
          </w:p>
        </w:tc>
        <w:tc>
          <w:tcPr>
            <w:tcW w:w="1033" w:type="dxa"/>
            <w:vAlign w:val="center"/>
          </w:tcPr>
          <w:p>
            <w:pPr>
              <w:jc w:val="center"/>
              <w:rPr>
                <w:rFonts w:hint="eastAsia" w:ascii="仿宋_GB2312" w:eastAsia="仿宋_GB2312"/>
                <w:sz w:val="32"/>
                <w:szCs w:val="32"/>
              </w:rPr>
            </w:pPr>
            <w:r>
              <w:rPr>
                <w:rFonts w:hint="eastAsia" w:ascii="宋体" w:hAnsi="宋体" w:cs="宋体"/>
                <w:color w:val="000000"/>
                <w:kern w:val="0"/>
                <w:sz w:val="24"/>
              </w:rPr>
              <w:t>—</w:t>
            </w:r>
          </w:p>
        </w:tc>
        <w:tc>
          <w:tcPr>
            <w:tcW w:w="3902" w:type="dxa"/>
            <w:vAlign w:val="center"/>
          </w:tcPr>
          <w:p>
            <w:pPr>
              <w:jc w:val="center"/>
              <w:rPr>
                <w:rFonts w:hint="eastAsia" w:ascii="仿宋_GB2312" w:eastAsia="仿宋_GB2312"/>
                <w:sz w:val="32"/>
                <w:szCs w:val="32"/>
                <w:lang w:eastAsia="zh-CN"/>
              </w:rPr>
            </w:pPr>
            <w:r>
              <w:rPr>
                <w:rFonts w:hint="eastAsia" w:ascii="宋体" w:hAnsi="宋体" w:eastAsia="仿宋_GB2312" w:cs="宋体"/>
                <w:color w:val="000000"/>
                <w:kern w:val="0"/>
                <w:sz w:val="24"/>
                <w:lang w:val="en-US" w:eastAsia="zh-CN"/>
              </w:rPr>
              <w:t>3.59</w:t>
            </w:r>
          </w:p>
        </w:tc>
      </w:tr>
    </w:tbl>
    <w:p>
      <w:pPr>
        <w:keepNext w:val="0"/>
        <w:keepLines w:val="0"/>
        <w:pageBreakBefore w:val="0"/>
        <w:kinsoku/>
        <w:wordWrap/>
        <w:overflowPunct/>
        <w:topLinePunct w:val="0"/>
        <w:autoSpaceDE/>
        <w:autoSpaceDN/>
        <w:bidi w:val="0"/>
        <w:adjustRightInd/>
        <w:snapToGrid/>
        <w:spacing w:line="560" w:lineRule="exact"/>
        <w:ind w:right="0" w:rightChars="0" w:firstLine="630" w:firstLineChars="196"/>
        <w:rPr>
          <w:rFonts w:hint="eastAsia" w:ascii="黑体" w:hAnsi="??_GB2312" w:eastAsia="黑体" w:cs="??_GB2312"/>
          <w:b/>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2"/>
        <w:keepNext w:val="0"/>
        <w:keepLines w:val="0"/>
        <w:pageBreakBefore w:val="0"/>
        <w:widowControl/>
        <w:kinsoku/>
        <w:wordWrap/>
        <w:overflowPunct/>
        <w:topLinePunct w:val="0"/>
        <w:autoSpaceDE/>
        <w:autoSpaceDN/>
        <w:bidi w:val="0"/>
        <w:adjustRightInd/>
        <w:snapToGrid/>
        <w:spacing w:line="560" w:lineRule="exact"/>
        <w:ind w:right="0" w:rightChars="0" w:firstLine="578" w:firstLineChars="180"/>
        <w:rPr>
          <w:rFonts w:ascii="仿宋_GB2312" w:hAnsi="??_GB2312" w:eastAsia="仿宋_GB2312" w:cs="??_GB2312"/>
          <w:sz w:val="32"/>
          <w:szCs w:val="32"/>
        </w:rPr>
      </w:pPr>
      <w:r>
        <w:rPr>
          <w:rStyle w:val="5"/>
          <w:rFonts w:ascii="仿宋_GB2312" w:hAnsi="??_GB2312" w:eastAsia="仿宋_GB2312" w:cs="??_GB2312"/>
          <w:sz w:val="32"/>
          <w:szCs w:val="32"/>
          <w:shd w:val="clear" w:color="auto" w:fill="FFFFFF"/>
        </w:rPr>
        <w:t>2</w:t>
      </w:r>
      <w:r>
        <w:rPr>
          <w:rStyle w:val="5"/>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2"/>
        <w:keepNext w:val="0"/>
        <w:keepLines w:val="0"/>
        <w:pageBreakBefore w:val="0"/>
        <w:widowControl/>
        <w:kinsoku/>
        <w:wordWrap/>
        <w:overflowPunct/>
        <w:topLinePunct w:val="0"/>
        <w:autoSpaceDE/>
        <w:autoSpaceDN/>
        <w:bidi w:val="0"/>
        <w:adjustRightInd/>
        <w:snapToGrid/>
        <w:spacing w:line="560" w:lineRule="exact"/>
        <w:ind w:right="0" w:rightChars="0" w:firstLine="578" w:firstLineChars="180"/>
        <w:rPr>
          <w:rFonts w:ascii="仿宋_GB2312" w:hAnsi="宋体" w:eastAsia="仿宋_GB2312"/>
          <w:sz w:val="32"/>
          <w:szCs w:val="32"/>
        </w:rPr>
      </w:pPr>
      <w:r>
        <w:rPr>
          <w:rStyle w:val="5"/>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2"/>
        <w:keepNext w:val="0"/>
        <w:keepLines w:val="0"/>
        <w:pageBreakBefore w:val="0"/>
        <w:widowControl/>
        <w:kinsoku/>
        <w:wordWrap/>
        <w:overflowPunct/>
        <w:topLinePunct w:val="0"/>
        <w:autoSpaceDE/>
        <w:autoSpaceDN/>
        <w:bidi w:val="0"/>
        <w:adjustRightInd/>
        <w:snapToGrid/>
        <w:spacing w:line="560" w:lineRule="exact"/>
        <w:ind w:right="0" w:rightChars="0"/>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2"/>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right="0" w:rightChars="0"/>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keepNext w:val="0"/>
        <w:keepLines w:val="0"/>
        <w:pageBreakBefore w:val="0"/>
        <w:kinsoku/>
        <w:wordWrap/>
        <w:overflowPunct/>
        <w:topLinePunct w:val="0"/>
        <w:autoSpaceDE/>
        <w:autoSpaceDN/>
        <w:bidi w:val="0"/>
        <w:adjustRightInd/>
        <w:snapToGrid/>
        <w:spacing w:line="560" w:lineRule="exact"/>
        <w:ind w:right="0" w:rightChars="0"/>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我部门无政府性基金预算及国有资本经营预算，空表列示。</w:t>
      </w:r>
    </w:p>
    <w:sectPr>
      <w:pgSz w:w="11906" w:h="16838"/>
      <w:pgMar w:top="1440"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cxYTM0NzEwMDBjMTMyZmIzODYwMTFiNmI0YmJiYmQifQ=="/>
  </w:docVars>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84056"/>
    <w:rsid w:val="001B0959"/>
    <w:rsid w:val="001C59C3"/>
    <w:rsid w:val="001E32CE"/>
    <w:rsid w:val="0025650B"/>
    <w:rsid w:val="00283D9E"/>
    <w:rsid w:val="00295124"/>
    <w:rsid w:val="002A47E6"/>
    <w:rsid w:val="002C167F"/>
    <w:rsid w:val="002E0ED0"/>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542E"/>
    <w:rsid w:val="00F87F58"/>
    <w:rsid w:val="00FB32A9"/>
    <w:rsid w:val="00FB3480"/>
    <w:rsid w:val="033A54A0"/>
    <w:rsid w:val="04186397"/>
    <w:rsid w:val="05E03CC9"/>
    <w:rsid w:val="0A681BF6"/>
    <w:rsid w:val="0C60671B"/>
    <w:rsid w:val="0ECA2E39"/>
    <w:rsid w:val="111A0911"/>
    <w:rsid w:val="1DB53932"/>
    <w:rsid w:val="21420B15"/>
    <w:rsid w:val="24735F8A"/>
    <w:rsid w:val="29E543B3"/>
    <w:rsid w:val="2D0A4D3A"/>
    <w:rsid w:val="3D3657EC"/>
    <w:rsid w:val="405F7975"/>
    <w:rsid w:val="42940BA9"/>
    <w:rsid w:val="44556E09"/>
    <w:rsid w:val="45CD35A8"/>
    <w:rsid w:val="461A13D0"/>
    <w:rsid w:val="4740710D"/>
    <w:rsid w:val="48F40D32"/>
    <w:rsid w:val="49795A5B"/>
    <w:rsid w:val="5288384C"/>
    <w:rsid w:val="53F7061A"/>
    <w:rsid w:val="550D6F7B"/>
    <w:rsid w:val="58BC5F69"/>
    <w:rsid w:val="59137579"/>
    <w:rsid w:val="5B373A8F"/>
    <w:rsid w:val="5C8F584A"/>
    <w:rsid w:val="5CC179F5"/>
    <w:rsid w:val="5E603BB4"/>
    <w:rsid w:val="5F1E4198"/>
    <w:rsid w:val="68D47776"/>
    <w:rsid w:val="694A089A"/>
    <w:rsid w:val="710C34BB"/>
    <w:rsid w:val="720E262F"/>
    <w:rsid w:val="72A536EF"/>
    <w:rsid w:val="78E14FFD"/>
    <w:rsid w:val="7EA14C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iPriority w:val="99"/>
    <w:pPr>
      <w:jc w:val="left"/>
    </w:pPr>
    <w:rPr>
      <w:kern w:val="0"/>
      <w:sz w:val="24"/>
    </w:rPr>
  </w:style>
  <w:style w:type="character" w:styleId="5">
    <w:name w:val="Strong"/>
    <w:basedOn w:val="4"/>
    <w:qFormat/>
    <w:locked/>
    <w:uiPriority w:val="99"/>
    <w:rPr>
      <w:rFonts w:cs="Times New Roman"/>
      <w:b/>
    </w:rPr>
  </w:style>
  <w:style w:type="paragraph" w:customStyle="1" w:styleId="6">
    <w:name w:val="p15"/>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11</Pages>
  <Words>663</Words>
  <Characters>3783</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雨</cp:lastModifiedBy>
  <cp:lastPrinted>2017-03-23T02:55:00Z</cp:lastPrinted>
  <dcterms:modified xsi:type="dcterms:W3CDTF">2023-11-10T02:08:19Z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58AD6B0B62AE49A496BD10BCE1E3D292_12</vt:lpwstr>
  </property>
</Properties>
</file>